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小标宋简体" w:hAnsi="方正小标宋简体" w:eastAsia="方正小标宋简体" w:cs="方正小标宋简体"/>
          <w:sz w:val="44"/>
          <w:lang w:val="en-US" w:eastAsia="zh-CN"/>
        </w:rPr>
      </w:pPr>
      <w:r>
        <w:rPr>
          <w:rFonts w:hint="eastAsia" w:ascii="方正小标宋简体" w:hAnsi="方正小标宋简体" w:eastAsia="方正小标宋简体" w:cs="方正小标宋简体"/>
          <w:sz w:val="44"/>
          <w:lang w:val="en-US" w:eastAsia="zh-CN"/>
        </w:rPr>
        <w:t>长葛市城市公共区域窨井盖专项整治工作方案</w:t>
      </w:r>
    </w:p>
    <w:p>
      <w:pPr>
        <w:spacing w:line="600" w:lineRule="exact"/>
        <w:jc w:val="center"/>
        <w:rPr>
          <w:rFonts w:hint="default" w:ascii="方正小标宋简体" w:hAnsi="方正小标宋简体" w:eastAsia="方正小标宋简体" w:cs="方正小标宋简体"/>
          <w:sz w:val="44"/>
          <w:lang w:val="en-US" w:eastAsia="zh-CN"/>
        </w:rPr>
      </w:pPr>
      <w:r>
        <w:rPr>
          <w:rFonts w:hint="eastAsia" w:ascii="方正小标宋简体" w:hAnsi="方正小标宋简体" w:eastAsia="方正小标宋简体" w:cs="方正小标宋简体"/>
          <w:sz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 w:cs="Times New Roman"/>
          <w:sz w:val="32"/>
          <w:szCs w:val="32"/>
        </w:rPr>
      </w:pPr>
      <w:r>
        <w:rPr>
          <w:rFonts w:hint="eastAsia" w:ascii="仿宋_GB2312" w:hAnsi="仿宋_GB2312" w:eastAsia="仿宋_GB2312" w:cs="仿宋_GB2312"/>
          <w:sz w:val="32"/>
          <w:szCs w:val="32"/>
        </w:rPr>
        <w:t>为加强我市城市公共区域窨井盖的监管和维护，完善窨井盖长效管理机制，提升窨井设施安全运行水平，保障人民群众生命财产安全和城市有序运行，促进城市治理能力和管理水平的全面提升，</w:t>
      </w:r>
      <w:r>
        <w:rPr>
          <w:rFonts w:hint="eastAsia" w:ascii="仿宋_GB2312" w:hAnsi="仿宋_GB2312" w:eastAsia="仿宋_GB2312" w:cs="仿宋_GB2312"/>
          <w:sz w:val="32"/>
          <w:szCs w:val="32"/>
          <w:lang w:eastAsia="zh-CN"/>
        </w:rPr>
        <w:t>结合我市实际</w:t>
      </w:r>
      <w:r>
        <w:rPr>
          <w:rFonts w:hint="eastAsia" w:ascii="仿宋_GB2312" w:hAnsi="仿宋_GB2312" w:eastAsia="仿宋_GB2312" w:cs="仿宋_GB2312"/>
          <w:sz w:val="32"/>
          <w:szCs w:val="32"/>
        </w:rPr>
        <w:t>，现制定如下工作方案。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黑体" w:cs="Times New Roman"/>
          <w:sz w:val="32"/>
          <w:szCs w:val="32"/>
        </w:rPr>
      </w:pPr>
      <w:r>
        <w:rPr>
          <w:rFonts w:eastAsia="黑体" w:cs="Times New Roman"/>
          <w:sz w:val="32"/>
          <w:szCs w:val="32"/>
        </w:rPr>
        <w:t>一、指导思想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深入贯彻落实党的十九届二中、三中、四中、五中全会精神和习近平总书记关于城市管理系列重要论述及省委省政府领导指示批示精神，牢固树立以人民为中心的发展思想，着力解决人民群众最关心、最直接、最现实的问题，持续强化窨井盖安全管理，努力打造“安全、整洁、有序、智能”的城市环境，不断增强人民群众的获得感、幸福感、安全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黑体" w:cs="Times New Roman"/>
          <w:sz w:val="32"/>
          <w:szCs w:val="32"/>
        </w:rPr>
      </w:pPr>
      <w:r>
        <w:rPr>
          <w:rFonts w:eastAsia="黑体" w:cs="Times New Roman"/>
          <w:sz w:val="32"/>
          <w:szCs w:val="32"/>
        </w:rPr>
        <w:t>二、基本原则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 w:hAnsi="仿宋" w:eastAsia="仿宋" w:cs="Times New Roman"/>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一）坚持以人为本。</w:t>
      </w:r>
      <w:r>
        <w:rPr>
          <w:rFonts w:hint="eastAsia" w:ascii="仿宋_GB2312" w:hAnsi="仿宋_GB2312" w:eastAsia="仿宋_GB2312" w:cs="仿宋_GB2312"/>
          <w:sz w:val="32"/>
          <w:szCs w:val="32"/>
        </w:rPr>
        <w:t>牢固树立“小井盖、大民生”理念，把人民群众生命财产安全作为推动工作的出发点和落脚点，保障人民群众出行安全，不断提升城市安全运行管理水平。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 w:hAnsi="仿宋" w:eastAsia="仿宋" w:cs="Times New Roman"/>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二）坚持统筹推进。</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镇（办）</w:t>
      </w:r>
      <w:r>
        <w:rPr>
          <w:rFonts w:hint="eastAsia" w:ascii="仿宋_GB2312" w:hAnsi="仿宋_GB2312" w:eastAsia="仿宋_GB2312" w:cs="仿宋_GB2312"/>
          <w:sz w:val="32"/>
          <w:szCs w:val="32"/>
        </w:rPr>
        <w:t>、各有关部门按照“谁所有，谁负责”“属主、属地”的原则，明确责任，确定权属，建立专项整治工作台账，强化部门协调联动，调动社会各方面的积极性，共同推进专项整治工作落实。</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三）坚持依法治理。</w:t>
      </w:r>
      <w:r>
        <w:rPr>
          <w:rFonts w:hint="eastAsia" w:ascii="仿宋_GB2312" w:hAnsi="仿宋_GB2312" w:eastAsia="仿宋_GB2312" w:cs="仿宋_GB2312"/>
          <w:sz w:val="32"/>
          <w:szCs w:val="32"/>
        </w:rPr>
        <w:t>完善涉窨井盖安全管理的文件政策和技术标准，保证窨井盖权属单位和管理单位依法履行安全管理的主体责任。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 w:cs="Times New Roman"/>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四）坚持创新引领。</w:t>
      </w:r>
      <w:r>
        <w:rPr>
          <w:rFonts w:hint="eastAsia" w:ascii="仿宋_GB2312" w:hAnsi="仿宋_GB2312" w:eastAsia="仿宋_GB2312" w:cs="仿宋_GB2312"/>
          <w:sz w:val="32"/>
          <w:szCs w:val="32"/>
        </w:rPr>
        <w:t>积极探索运用物联网等信息化手段创新窨井盖安全管理模式，逐步推广应用具备防盗、防滑、防移位、防沉降、防坠落等功能的新技术、新产品，提高窨井盖安全性能，有效防范事故发生。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黑体" w:cs="Times New Roman"/>
          <w:sz w:val="32"/>
          <w:szCs w:val="32"/>
        </w:rPr>
      </w:pPr>
      <w:r>
        <w:rPr>
          <w:rFonts w:hint="eastAsia" w:eastAsia="黑体" w:cs="Times New Roman"/>
          <w:sz w:val="32"/>
          <w:szCs w:val="32"/>
        </w:rPr>
        <w:t>三、工作目标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2021年3月底之前，完成城市公共区域所有窨井盖确权建档和专项整治方案的制定，6月底前对所有普查统计的窨井盖统一纳入数字化城市管理平台，</w:t>
      </w:r>
      <w:r>
        <w:rPr>
          <w:rFonts w:hint="eastAsia" w:ascii="仿宋_GB2312" w:hAnsi="仿宋_GB2312" w:eastAsia="仿宋_GB2312" w:cs="仿宋_GB2312"/>
          <w:sz w:val="32"/>
          <w:szCs w:val="32"/>
          <w:lang w:val="en-US" w:eastAsia="zh-CN"/>
        </w:rPr>
        <w:t>12月底前</w:t>
      </w:r>
      <w:r>
        <w:rPr>
          <w:rFonts w:hint="eastAsia" w:ascii="仿宋_GB2312" w:hAnsi="仿宋_GB2312" w:eastAsia="仿宋_GB2312" w:cs="仿宋_GB2312"/>
          <w:sz w:val="32"/>
          <w:szCs w:val="32"/>
        </w:rPr>
        <w:t>完成40％问题井盖的整治任务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完成剩余</w:t>
      </w:r>
      <w:r>
        <w:rPr>
          <w:rFonts w:hint="eastAsia" w:ascii="仿宋_GB2312" w:hAnsi="仿宋_GB2312" w:eastAsia="仿宋_GB2312" w:cs="仿宋_GB2312"/>
          <w:sz w:val="32"/>
          <w:szCs w:val="32"/>
          <w:lang w:val="en-US" w:eastAsia="zh-CN"/>
        </w:rPr>
        <w:t>60%问题井盖的</w:t>
      </w:r>
      <w:r>
        <w:rPr>
          <w:rFonts w:hint="eastAsia" w:ascii="仿宋_GB2312" w:hAnsi="仿宋_GB2312" w:eastAsia="仿宋_GB2312" w:cs="仿宋_GB2312"/>
          <w:sz w:val="32"/>
          <w:szCs w:val="32"/>
        </w:rPr>
        <w:t>整治任务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2023年实现窨井盖管理水平的巩固和提升</w:t>
      </w:r>
      <w:r>
        <w:rPr>
          <w:rFonts w:hint="eastAsia" w:ascii="仿宋_GB2312" w:hAnsi="仿宋_GB2312" w:eastAsia="仿宋_GB2312" w:cs="仿宋_GB2312"/>
          <w:sz w:val="32"/>
          <w:szCs w:val="32"/>
        </w:rPr>
        <w:t>。通过专项整治，全市城市公共区域窨井盖安全隐患得到根本治理，窨井盖安全管理机制进一步完善，相关技术标准基本健全，信息化管理手段明显加强，事故风险监测预警能力和应急处置水平显著提升。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黑体" w:cs="Times New Roman"/>
          <w:sz w:val="32"/>
          <w:szCs w:val="32"/>
        </w:rPr>
      </w:pPr>
      <w:r>
        <w:rPr>
          <w:rFonts w:hint="eastAsia" w:eastAsia="黑体" w:cs="Times New Roman"/>
          <w:sz w:val="32"/>
          <w:szCs w:val="32"/>
        </w:rPr>
        <w:t>四</w:t>
      </w:r>
      <w:r>
        <w:rPr>
          <w:rFonts w:eastAsia="黑体" w:cs="Times New Roman"/>
          <w:sz w:val="32"/>
          <w:szCs w:val="32"/>
        </w:rPr>
        <w:t>、整治范围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城</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建成区内的城市道路、广场、免费公园、绿地及体育场地等城市公共区域内设置的所有窨井盖。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学校、医院、商场、车站等提供公共服务的场所，以及居民小区、城中村、</w:t>
      </w:r>
      <w:r>
        <w:rPr>
          <w:rFonts w:hint="eastAsia" w:ascii="仿宋_GB2312" w:hAnsi="仿宋_GB2312" w:eastAsia="仿宋_GB2312" w:cs="仿宋_GB2312"/>
          <w:sz w:val="32"/>
          <w:szCs w:val="32"/>
          <w:highlight w:val="none"/>
        </w:rPr>
        <w:t>城乡结合部</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镇（办）</w:t>
      </w:r>
      <w:r>
        <w:rPr>
          <w:rFonts w:hint="eastAsia" w:ascii="仿宋_GB2312" w:hAnsi="仿宋_GB2312" w:eastAsia="仿宋_GB2312" w:cs="仿宋_GB2312"/>
          <w:sz w:val="32"/>
          <w:szCs w:val="32"/>
        </w:rPr>
        <w:t>等区域设置的窨井盖专项整治参照本方案实施。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黑体" w:cs="Times New Roman"/>
          <w:sz w:val="32"/>
          <w:szCs w:val="32"/>
        </w:rPr>
      </w:pPr>
      <w:r>
        <w:rPr>
          <w:rFonts w:hint="eastAsia" w:eastAsia="黑体" w:cs="Times New Roman"/>
          <w:sz w:val="32"/>
          <w:szCs w:val="32"/>
        </w:rPr>
        <w:t>五</w:t>
      </w:r>
      <w:r>
        <w:rPr>
          <w:rFonts w:eastAsia="黑体" w:cs="Times New Roman"/>
          <w:sz w:val="32"/>
          <w:szCs w:val="32"/>
        </w:rPr>
        <w:t>、整治内容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 w:cs="Times New Roman"/>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一）明确权属，开展全面普查。</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镇（办）、</w:t>
      </w:r>
      <w:r>
        <w:rPr>
          <w:rFonts w:hint="eastAsia" w:ascii="仿宋_GB2312" w:hAnsi="仿宋_GB2312" w:eastAsia="仿宋_GB2312" w:cs="仿宋_GB2312"/>
          <w:sz w:val="32"/>
          <w:szCs w:val="32"/>
        </w:rPr>
        <w:t>各有关部门组织城市供水、排水、雨水、污水、燃气、热力、电力、通信、公安、交通、广播电视、路灯等窨井盖权属部门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管理单位），按照职责分工，全面开展普查，厘清各类窨井盖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包括联建、共用管道井）的权属关系和责任主体，摸清底数，建立专项整治工作台账。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 w:cs="Times New Roman"/>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二）规范施工，确保质量安全。</w:t>
      </w:r>
      <w:r>
        <w:rPr>
          <w:rFonts w:hint="eastAsia" w:ascii="仿宋_GB2312" w:hAnsi="仿宋_GB2312" w:eastAsia="仿宋_GB2312" w:cs="仿宋_GB2312"/>
          <w:sz w:val="32"/>
          <w:szCs w:val="32"/>
        </w:rPr>
        <w:t>窨井设施施工要结合运行环境和设计使用年限要求，选用符合国家、地方相关标准的窨井盖产品，严格按照国家、地方有关技术标准安装。各行业管理部门和窨井盖权属部门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管理单位）要加强窨井盖安装工程竣工验收管理，窨井盖安全不达标的，主体工程不得交付使用。新建窨井盖在建成移交时，应设置统一标识。扩建、改建城市道路需要拆除、移动窨井盖的，道路工程建设单位应当及时向窨井盖管理单位报告，落实安全防护措施。有关部门</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结合实际，出台窨井</w:t>
      </w:r>
      <w:r>
        <w:rPr>
          <w:rFonts w:hint="eastAsia" w:ascii="仿宋_GB2312" w:hAnsi="仿宋_GB2312" w:eastAsia="仿宋_GB2312" w:cs="仿宋_GB2312"/>
          <w:spacing w:val="-6"/>
          <w:sz w:val="32"/>
          <w:szCs w:val="32"/>
        </w:rPr>
        <w:t>盖生产、安装、维护、更新等环节的强制性标准，保障窨井盖安全。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 w:cs="Times New Roman"/>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三）分类整治，确保安全实施。</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镇（办）</w:t>
      </w:r>
      <w:r>
        <w:rPr>
          <w:rFonts w:hint="eastAsia" w:ascii="仿宋_GB2312" w:hAnsi="仿宋_GB2312" w:eastAsia="仿宋_GB2312" w:cs="仿宋_GB2312"/>
          <w:sz w:val="32"/>
          <w:szCs w:val="32"/>
        </w:rPr>
        <w:t>、各有关部门要依据专项整治工作台账，统筹有序开展整治。对已确认为废弃的窨井盖，由产权管理单位在规定期限内完成填埋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低洼、易涝等地区的窨井，要逐步加装防坠设施，防止出现人员坠井情况，提高安全性。对超过设计使用年限、盖体损坏、发生沉降的老旧窨井盖，要及时进行更新改造。在整治中要落实安全防护措施，短时间难以完成改造的，应完善相应安全措施，设置明显的警示标志，消除安全隐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 w:cs="Times New Roman"/>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四）规范标识，实施信息化管理。</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镇（办）</w:t>
      </w:r>
      <w:r>
        <w:rPr>
          <w:rFonts w:hint="eastAsia" w:ascii="仿宋_GB2312" w:hAnsi="仿宋_GB2312" w:eastAsia="仿宋_GB2312" w:cs="仿宋_GB2312"/>
          <w:sz w:val="32"/>
          <w:szCs w:val="32"/>
        </w:rPr>
        <w:t>、各有关部门要统一规范窨井盖标识，内容包括编号、类别、产品型号、执行标准、规格材质、承载等级、生产日期、管理单位等相关信息。要结合窨井盖普查，建立“一路一档案，一盖一编号，一井一权属”的电子档案。有条件的部门，可结合实际开展窨井盖智慧化升级改造，运用物联网、大数据、云计算等新技术，逐步提升窨井盖安全管理效率和水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 w:cs="Times New Roman"/>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五）加强巡检，建立长效管理机制。</w:t>
      </w:r>
      <w:r>
        <w:rPr>
          <w:rFonts w:hint="eastAsia" w:ascii="仿宋_GB2312" w:hAnsi="仿宋_GB2312" w:eastAsia="仿宋_GB2312" w:cs="仿宋_GB2312"/>
          <w:sz w:val="32"/>
          <w:szCs w:val="32"/>
        </w:rPr>
        <w:t>落实窨井盖管理单位日常维护责任，建立定期巡查机制，通过部门责任人、网格员、数字城管信息采集员日常巡查、环卫工人报修、群众投诉、购买第三方服务等多种方式，及时发现安全隐患，限时进行处理。城市道路上的窨井盖进行维修、更换等作业时，市政、水利、公安、交通等主管部门应当予以配合。排涝应急处置时，要密切监测窨井内外水压，确需移动、加固窨井盖设施的，应严格按照作业流程规范，设置安全警示，做好安全防护，排涝结束后及时恢复窨井盖原状。各</w:t>
      </w:r>
      <w:r>
        <w:rPr>
          <w:rFonts w:hint="eastAsia" w:ascii="仿宋_GB2312" w:hAnsi="仿宋_GB2312" w:eastAsia="仿宋_GB2312" w:cs="仿宋_GB2312"/>
          <w:sz w:val="32"/>
          <w:szCs w:val="32"/>
          <w:lang w:val="en-US" w:eastAsia="zh-CN"/>
        </w:rPr>
        <w:t>镇（办）</w:t>
      </w:r>
      <w:r>
        <w:rPr>
          <w:rFonts w:hint="eastAsia" w:ascii="仿宋_GB2312" w:hAnsi="仿宋_GB2312" w:eastAsia="仿宋_GB2312" w:cs="仿宋_GB2312"/>
          <w:sz w:val="32"/>
          <w:szCs w:val="32"/>
        </w:rPr>
        <w:t>、各有关部门要将窨井盖应急处置作为城市地下管线专项应急预案的重要内容，健全多部门协同预警和响应处置机制，提高事故防范和应急处置能力。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黑体" w:cs="Times New Roman"/>
          <w:sz w:val="32"/>
          <w:szCs w:val="32"/>
        </w:rPr>
      </w:pPr>
      <w:r>
        <w:rPr>
          <w:rFonts w:hint="eastAsia" w:eastAsia="黑体" w:cs="Times New Roman"/>
          <w:sz w:val="32"/>
          <w:szCs w:val="32"/>
        </w:rPr>
        <w:t>六</w:t>
      </w:r>
      <w:r>
        <w:rPr>
          <w:rFonts w:eastAsia="黑体" w:cs="Times New Roman"/>
          <w:sz w:val="32"/>
          <w:szCs w:val="32"/>
        </w:rPr>
        <w:t>、责任分工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按照“三管三必须”“谁所有，谁负责”“属主、属地”的原则，</w:t>
      </w:r>
      <w:r>
        <w:rPr>
          <w:rFonts w:hint="eastAsia" w:ascii="仿宋_GB2312" w:hAnsi="仿宋_GB2312" w:eastAsia="仿宋_GB2312" w:cs="仿宋_GB2312"/>
          <w:sz w:val="32"/>
          <w:szCs w:val="32"/>
          <w:lang w:eastAsia="zh-CN"/>
        </w:rPr>
        <w:t>各镇（办）、</w:t>
      </w:r>
      <w:r>
        <w:rPr>
          <w:rFonts w:hint="eastAsia" w:ascii="仿宋_GB2312" w:hAnsi="仿宋_GB2312" w:eastAsia="仿宋_GB2312" w:cs="仿宋_GB2312"/>
          <w:sz w:val="32"/>
          <w:szCs w:val="32"/>
        </w:rPr>
        <w:t>各有关部门、驻</w:t>
      </w:r>
      <w:r>
        <w:rPr>
          <w:rFonts w:hint="eastAsia" w:ascii="仿宋_GB2312" w:hAnsi="仿宋_GB2312" w:eastAsia="仿宋_GB2312" w:cs="仿宋_GB2312"/>
          <w:sz w:val="32"/>
          <w:szCs w:val="32"/>
          <w:lang w:val="en-US" w:eastAsia="zh-CN"/>
        </w:rPr>
        <w:t>长</w:t>
      </w:r>
      <w:r>
        <w:rPr>
          <w:rFonts w:hint="eastAsia" w:ascii="仿宋_GB2312" w:hAnsi="仿宋_GB2312" w:eastAsia="仿宋_GB2312" w:cs="仿宋_GB2312"/>
          <w:sz w:val="32"/>
          <w:szCs w:val="32"/>
        </w:rPr>
        <w:t>有关企业具体责任分工如下：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 w:cs="Times New Roman"/>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一）</w:t>
      </w:r>
      <w:r>
        <w:rPr>
          <w:rFonts w:hint="eastAsia" w:ascii="楷体_GB2312" w:hAnsi="楷体_GB2312" w:eastAsia="楷体_GB2312" w:cs="楷体_GB2312"/>
          <w:b/>
          <w:sz w:val="32"/>
          <w:szCs w:val="32"/>
          <w:lang w:eastAsia="zh-CN"/>
        </w:rPr>
        <w:t>各镇（办）</w:t>
      </w:r>
      <w:r>
        <w:rPr>
          <w:rFonts w:hint="eastAsia" w:ascii="楷体_GB2312" w:hAnsi="楷体_GB2312" w:eastAsia="楷体_GB2312" w:cs="楷体_GB2312"/>
          <w:b/>
          <w:sz w:val="32"/>
          <w:szCs w:val="32"/>
        </w:rPr>
        <w:t>。</w:t>
      </w:r>
      <w:r>
        <w:rPr>
          <w:rFonts w:hint="eastAsia" w:ascii="仿宋_GB2312" w:hAnsi="仿宋_GB2312" w:eastAsia="仿宋_GB2312" w:cs="仿宋_GB2312"/>
          <w:sz w:val="32"/>
          <w:szCs w:val="32"/>
        </w:rPr>
        <w:t>按照属地管理的原则，负责辖区范围内窨井盖专项整治工作的组织领导、统筹协调、推进实施、资金保障、考核奖惩等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负责辖区范围内城市公共区域，学校、医院、商场、车站等公共服务场所，居民小区、城中村、</w:t>
      </w:r>
      <w:r>
        <w:rPr>
          <w:rFonts w:hint="eastAsia" w:ascii="仿宋_GB2312" w:hAnsi="仿宋_GB2312" w:eastAsia="仿宋_GB2312" w:cs="仿宋_GB2312"/>
          <w:sz w:val="32"/>
          <w:szCs w:val="32"/>
          <w:highlight w:val="none"/>
        </w:rPr>
        <w:t>城乡结合部</w:t>
      </w:r>
      <w:r>
        <w:rPr>
          <w:rFonts w:hint="eastAsia" w:ascii="仿宋_GB2312" w:hAnsi="仿宋_GB2312" w:eastAsia="仿宋_GB2312" w:cs="仿宋_GB2312"/>
          <w:sz w:val="32"/>
          <w:szCs w:val="32"/>
        </w:rPr>
        <w:t>等区域各类窨井盖的普查、确权、建档、整治提升和日常监管督导工作。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 w:cs="Times New Roman"/>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二）市城管局。</w:t>
      </w:r>
      <w:r>
        <w:rPr>
          <w:rFonts w:hint="eastAsia" w:ascii="仿宋_GB2312" w:hAnsi="仿宋_GB2312" w:eastAsia="仿宋_GB2312" w:cs="仿宋_GB2312"/>
          <w:sz w:val="32"/>
          <w:szCs w:val="32"/>
        </w:rPr>
        <w:t>负责履行市公共区域窨井盖专项整治工作领导小组办公室职责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负责所属</w:t>
      </w:r>
      <w:r>
        <w:rPr>
          <w:rFonts w:hint="eastAsia" w:ascii="仿宋_GB2312" w:hAnsi="仿宋_GB2312" w:eastAsia="仿宋_GB2312" w:cs="仿宋_GB2312"/>
          <w:sz w:val="32"/>
          <w:szCs w:val="32"/>
          <w:lang w:eastAsia="zh-CN"/>
        </w:rPr>
        <w:t>道路</w:t>
      </w:r>
      <w:r>
        <w:rPr>
          <w:rFonts w:hint="eastAsia" w:ascii="仿宋_GB2312" w:hAnsi="仿宋_GB2312" w:eastAsia="仿宋_GB2312" w:cs="仿宋_GB2312"/>
          <w:sz w:val="32"/>
          <w:szCs w:val="32"/>
          <w:lang w:val="en-US" w:eastAsia="zh-CN"/>
        </w:rPr>
        <w:t>排水、</w:t>
      </w:r>
      <w:r>
        <w:rPr>
          <w:rFonts w:hint="eastAsia" w:ascii="仿宋_GB2312" w:hAnsi="仿宋_GB2312" w:eastAsia="仿宋_GB2312" w:cs="仿宋_GB2312"/>
          <w:sz w:val="32"/>
          <w:szCs w:val="32"/>
        </w:rPr>
        <w:t>广场、游园窨井盖的普查、确权、建档、整治提升和日常监管工作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负责督导路灯行业各类窨井盖的整治提升工作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负责将城市公共区域各类窨井盖纳入数字化城市管理。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 w:cs="Times New Roman"/>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三）市住建局。</w:t>
      </w:r>
      <w:r>
        <w:rPr>
          <w:rFonts w:hint="eastAsia" w:ascii="仿宋_GB2312" w:hAnsi="仿宋_GB2312" w:eastAsia="仿宋_GB2312" w:cs="仿宋_GB2312"/>
          <w:sz w:val="32"/>
          <w:szCs w:val="32"/>
        </w:rPr>
        <w:t>负责所属</w:t>
      </w:r>
      <w:r>
        <w:rPr>
          <w:rFonts w:hint="eastAsia" w:ascii="仿宋_GB2312" w:hAnsi="仿宋_GB2312" w:eastAsia="仿宋_GB2312" w:cs="仿宋_GB2312"/>
          <w:sz w:val="32"/>
          <w:szCs w:val="32"/>
          <w:lang w:val="en-US" w:eastAsia="zh-CN"/>
        </w:rPr>
        <w:t>供水、污水、</w:t>
      </w:r>
      <w:r>
        <w:rPr>
          <w:rFonts w:hint="eastAsia" w:ascii="仿宋_GB2312" w:hAnsi="仿宋_GB2312" w:eastAsia="仿宋_GB2312" w:cs="仿宋_GB2312"/>
          <w:sz w:val="32"/>
          <w:szCs w:val="32"/>
        </w:rPr>
        <w:t>燃气、广场、游园等各类窨井盖的普查、确权、建档、整治提升和日常监管工作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负责督导全市住建行业各类窨井盖的整治提升工作。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四）</w:t>
      </w:r>
      <w:r>
        <w:rPr>
          <w:rFonts w:hint="eastAsia" w:ascii="楷体_GB2312" w:hAnsi="楷体_GB2312" w:eastAsia="楷体_GB2312" w:cs="楷体_GB2312"/>
          <w:b/>
          <w:sz w:val="32"/>
          <w:szCs w:val="32"/>
          <w:lang w:eastAsia="zh-CN"/>
        </w:rPr>
        <w:t>市</w:t>
      </w:r>
      <w:r>
        <w:rPr>
          <w:rFonts w:hint="eastAsia" w:ascii="楷体_GB2312" w:hAnsi="楷体_GB2312" w:eastAsia="楷体_GB2312" w:cs="楷体_GB2312"/>
          <w:b/>
          <w:sz w:val="32"/>
          <w:szCs w:val="32"/>
          <w:lang w:val="en-US" w:eastAsia="zh-CN"/>
        </w:rPr>
        <w:t>发改委</w:t>
      </w:r>
      <w:r>
        <w:rPr>
          <w:rFonts w:hint="eastAsia" w:ascii="楷体_GB2312" w:hAnsi="楷体_GB2312" w:eastAsia="楷体_GB2312" w:cs="楷体_GB2312"/>
          <w:b/>
          <w:sz w:val="32"/>
          <w:szCs w:val="32"/>
        </w:rPr>
        <w:t>。</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val="en-US" w:eastAsia="zh-CN"/>
        </w:rPr>
        <w:t>所属热力等各类窨井盖的普查、确权、建档、登记提升和日常监管工作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 w:cs="Times New Roman"/>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五）市水利局。</w:t>
      </w:r>
      <w:r>
        <w:rPr>
          <w:rFonts w:hint="eastAsia" w:ascii="仿宋_GB2312" w:hAnsi="仿宋_GB2312" w:eastAsia="仿宋_GB2312" w:cs="仿宋_GB2312"/>
          <w:sz w:val="32"/>
          <w:szCs w:val="32"/>
        </w:rPr>
        <w:t>负责所属窨井盖的普查、确权、建档、整治提升和日常监管工作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负责督导全市水利行业各类窨井盖的整治提升工作。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 w:cs="Times New Roman"/>
          <w:sz w:val="32"/>
          <w:szCs w:val="32"/>
        </w:rPr>
      </w:pPr>
      <w:r>
        <w:rPr>
          <w:rFonts w:hint="eastAsia" w:ascii="楷体_GB2312" w:hAnsi="楷体_GB2312" w:eastAsia="楷体_GB2312" w:cs="楷体_GB2312"/>
          <w:b/>
          <w:sz w:val="32"/>
          <w:szCs w:val="32"/>
          <w:lang w:eastAsia="zh-CN"/>
        </w:rPr>
        <w:t>（六</w:t>
      </w:r>
      <w:r>
        <w:rPr>
          <w:rFonts w:hint="eastAsia" w:ascii="楷体_GB2312" w:hAnsi="楷体_GB2312" w:eastAsia="楷体_GB2312" w:cs="楷体_GB2312"/>
          <w:b/>
          <w:sz w:val="32"/>
          <w:szCs w:val="32"/>
        </w:rPr>
        <w:t>）市公安局。</w:t>
      </w:r>
      <w:r>
        <w:rPr>
          <w:rFonts w:hint="eastAsia" w:ascii="仿宋_GB2312" w:hAnsi="仿宋_GB2312" w:eastAsia="仿宋_GB2312" w:cs="仿宋_GB2312"/>
          <w:sz w:val="32"/>
          <w:szCs w:val="32"/>
        </w:rPr>
        <w:t>负责依法打击偷盗、破坏窨井设施和相关警示防护设施及违法收购窨井盖等违法犯罪行为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负责所属公安设施、信号灯电源等各类窨井盖的普查、确权、建档、整治提升和日常监管工作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负责督导全市公安行业各类窨井盖的整治提升工作。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 w:cs="Times New Roman"/>
          <w:sz w:val="32"/>
          <w:szCs w:val="32"/>
        </w:rPr>
      </w:pPr>
      <w:r>
        <w:rPr>
          <w:rFonts w:hint="eastAsia" w:ascii="楷体_GB2312" w:hAnsi="楷体_GB2312" w:eastAsia="楷体_GB2312" w:cs="楷体_GB2312"/>
          <w:b/>
          <w:sz w:val="32"/>
          <w:szCs w:val="32"/>
          <w:lang w:eastAsia="zh-CN"/>
        </w:rPr>
        <w:t>（七</w:t>
      </w:r>
      <w:r>
        <w:rPr>
          <w:rFonts w:hint="eastAsia" w:ascii="楷体_GB2312" w:hAnsi="楷体_GB2312" w:eastAsia="楷体_GB2312" w:cs="楷体_GB2312"/>
          <w:b/>
          <w:sz w:val="32"/>
          <w:szCs w:val="32"/>
        </w:rPr>
        <w:t>）市教</w:t>
      </w:r>
      <w:r>
        <w:rPr>
          <w:rFonts w:hint="eastAsia" w:ascii="楷体_GB2312" w:hAnsi="楷体_GB2312" w:eastAsia="楷体_GB2312" w:cs="楷体_GB2312"/>
          <w:b/>
          <w:sz w:val="32"/>
          <w:szCs w:val="32"/>
          <w:lang w:eastAsia="zh-CN"/>
        </w:rPr>
        <w:t>体</w:t>
      </w:r>
      <w:r>
        <w:rPr>
          <w:rFonts w:hint="eastAsia" w:ascii="楷体_GB2312" w:hAnsi="楷体_GB2312" w:eastAsia="楷体_GB2312" w:cs="楷体_GB2312"/>
          <w:b/>
          <w:sz w:val="32"/>
          <w:szCs w:val="32"/>
        </w:rPr>
        <w:t>局。</w:t>
      </w:r>
      <w:r>
        <w:rPr>
          <w:rFonts w:hint="eastAsia" w:ascii="仿宋_GB2312" w:hAnsi="仿宋_GB2312" w:eastAsia="仿宋_GB2312" w:cs="仿宋_GB2312"/>
          <w:sz w:val="32"/>
          <w:szCs w:val="32"/>
        </w:rPr>
        <w:t>负责所属学校各类窨井盖的普查、确权、建档、整治提升和日常监管工作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负责督导全市教育系统所管理院校范围内各类窨井盖的整治提升工作。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 w:cs="Times New Roman"/>
          <w:sz w:val="32"/>
          <w:szCs w:val="32"/>
        </w:rPr>
      </w:pPr>
      <w:r>
        <w:rPr>
          <w:rFonts w:hint="eastAsia" w:ascii="楷体_GB2312" w:hAnsi="楷体_GB2312" w:eastAsia="楷体_GB2312" w:cs="楷体_GB2312"/>
          <w:b/>
          <w:sz w:val="32"/>
          <w:szCs w:val="32"/>
          <w:lang w:eastAsia="zh-CN"/>
        </w:rPr>
        <w:t>（八</w:t>
      </w:r>
      <w:r>
        <w:rPr>
          <w:rFonts w:hint="eastAsia" w:ascii="楷体_GB2312" w:hAnsi="楷体_GB2312" w:eastAsia="楷体_GB2312" w:cs="楷体_GB2312"/>
          <w:b/>
          <w:sz w:val="32"/>
          <w:szCs w:val="32"/>
        </w:rPr>
        <w:t>）市交通运输局。</w:t>
      </w:r>
      <w:r>
        <w:rPr>
          <w:rFonts w:hint="eastAsia" w:ascii="仿宋_GB2312" w:hAnsi="仿宋_GB2312" w:eastAsia="仿宋_GB2312" w:cs="仿宋_GB2312"/>
          <w:sz w:val="32"/>
          <w:szCs w:val="32"/>
        </w:rPr>
        <w:t>负责所属交通设施、车站各类窨井盖的普查、确权、建档、整治提升和日常监管工作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负责督导全市交通行业各类窨井盖的整治提升工作。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 w:cs="Times New Roman"/>
          <w:sz w:val="32"/>
          <w:szCs w:val="32"/>
        </w:rPr>
      </w:pPr>
      <w:r>
        <w:rPr>
          <w:rFonts w:hint="eastAsia" w:ascii="楷体_GB2312" w:hAnsi="楷体_GB2312" w:eastAsia="楷体_GB2312" w:cs="楷体_GB2312"/>
          <w:b/>
          <w:sz w:val="32"/>
          <w:szCs w:val="32"/>
          <w:lang w:eastAsia="zh-CN"/>
        </w:rPr>
        <w:t>（九</w:t>
      </w:r>
      <w:r>
        <w:rPr>
          <w:rFonts w:hint="eastAsia" w:ascii="楷体_GB2312" w:hAnsi="楷体_GB2312" w:eastAsia="楷体_GB2312" w:cs="楷体_GB2312"/>
          <w:b/>
          <w:sz w:val="32"/>
          <w:szCs w:val="32"/>
        </w:rPr>
        <w:t>）市卫生健康委员会。</w:t>
      </w:r>
      <w:r>
        <w:rPr>
          <w:rFonts w:hint="eastAsia" w:ascii="仿宋_GB2312" w:hAnsi="仿宋_GB2312" w:eastAsia="仿宋_GB2312" w:cs="仿宋_GB2312"/>
          <w:sz w:val="32"/>
          <w:szCs w:val="32"/>
        </w:rPr>
        <w:t>负责所属医疗卫生机构各类窨井盖的普查、确权、建档、整治提升和日常监管工作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负责督导全</w:t>
      </w:r>
      <w:r>
        <w:rPr>
          <w:rFonts w:hint="eastAsia" w:ascii="仿宋_GB2312" w:hAnsi="仿宋_GB2312" w:eastAsia="仿宋_GB2312" w:cs="仿宋_GB2312"/>
          <w:spacing w:val="-6"/>
          <w:sz w:val="32"/>
          <w:szCs w:val="32"/>
        </w:rPr>
        <w:t>市卫生健康系统所管理医疗卫生机构各类窨井盖的整治提升工作。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 w:cs="Times New Roman"/>
          <w:sz w:val="32"/>
          <w:szCs w:val="32"/>
        </w:rPr>
      </w:pPr>
      <w:r>
        <w:rPr>
          <w:rFonts w:hint="eastAsia" w:ascii="楷体_GB2312" w:hAnsi="楷体_GB2312" w:eastAsia="楷体_GB2312" w:cs="楷体_GB2312"/>
          <w:b/>
          <w:sz w:val="32"/>
          <w:szCs w:val="32"/>
          <w:lang w:eastAsia="zh-CN"/>
        </w:rPr>
        <w:t>（十</w:t>
      </w:r>
      <w:r>
        <w:rPr>
          <w:rFonts w:hint="eastAsia" w:ascii="楷体_GB2312" w:hAnsi="楷体_GB2312" w:eastAsia="楷体_GB2312" w:cs="楷体_GB2312"/>
          <w:b/>
          <w:sz w:val="32"/>
          <w:szCs w:val="32"/>
        </w:rPr>
        <w:t>）市体育</w:t>
      </w:r>
      <w:r>
        <w:rPr>
          <w:rFonts w:hint="eastAsia" w:ascii="楷体_GB2312" w:hAnsi="楷体_GB2312" w:eastAsia="楷体_GB2312" w:cs="楷体_GB2312"/>
          <w:b/>
          <w:sz w:val="32"/>
          <w:szCs w:val="32"/>
          <w:lang w:eastAsia="zh-CN"/>
        </w:rPr>
        <w:t>发展中心</w:t>
      </w:r>
      <w:r>
        <w:rPr>
          <w:rFonts w:hint="eastAsia" w:ascii="楷体_GB2312" w:hAnsi="楷体_GB2312" w:eastAsia="楷体_GB2312" w:cs="楷体_GB2312"/>
          <w:b/>
          <w:sz w:val="32"/>
          <w:szCs w:val="32"/>
        </w:rPr>
        <w:t>。</w:t>
      </w:r>
      <w:r>
        <w:rPr>
          <w:rFonts w:hint="eastAsia" w:ascii="仿宋_GB2312" w:hAnsi="仿宋_GB2312" w:eastAsia="仿宋_GB2312" w:cs="仿宋_GB2312"/>
          <w:sz w:val="32"/>
          <w:szCs w:val="32"/>
        </w:rPr>
        <w:t>负责所属体育场馆各类窨井盖的普查、确权、建档、整治提升和日常监管工作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全市</w:t>
      </w:r>
      <w:r>
        <w:rPr>
          <w:rFonts w:hint="eastAsia" w:ascii="仿宋_GB2312" w:hAnsi="仿宋_GB2312" w:eastAsia="仿宋_GB2312" w:cs="仿宋_GB2312"/>
          <w:sz w:val="32"/>
          <w:szCs w:val="32"/>
          <w:lang w:eastAsia="zh-CN"/>
        </w:rPr>
        <w:t>各辖区内</w:t>
      </w:r>
      <w:r>
        <w:rPr>
          <w:rFonts w:hint="eastAsia" w:ascii="仿宋_GB2312" w:hAnsi="仿宋_GB2312" w:eastAsia="仿宋_GB2312" w:cs="仿宋_GB2312"/>
          <w:sz w:val="32"/>
          <w:szCs w:val="32"/>
        </w:rPr>
        <w:t>体育场馆各类窨井盖</w:t>
      </w:r>
      <w:r>
        <w:rPr>
          <w:rFonts w:hint="eastAsia" w:ascii="仿宋_GB2312" w:hAnsi="仿宋_GB2312" w:eastAsia="仿宋_GB2312" w:cs="仿宋_GB2312"/>
          <w:sz w:val="32"/>
          <w:szCs w:val="32"/>
          <w:lang w:eastAsia="zh-CN"/>
        </w:rPr>
        <w:t>进行属地化管理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 w:cs="Times New Roman"/>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十</w:t>
      </w:r>
      <w:r>
        <w:rPr>
          <w:rFonts w:hint="eastAsia" w:ascii="楷体_GB2312" w:hAnsi="楷体_GB2312" w:eastAsia="楷体_GB2312" w:cs="楷体_GB2312"/>
          <w:b/>
          <w:sz w:val="32"/>
          <w:szCs w:val="32"/>
          <w:lang w:eastAsia="zh-CN"/>
        </w:rPr>
        <w:t>一</w:t>
      </w:r>
      <w:r>
        <w:rPr>
          <w:rFonts w:hint="eastAsia" w:ascii="楷体_GB2312" w:hAnsi="楷体_GB2312" w:eastAsia="楷体_GB2312" w:cs="楷体_GB2312"/>
          <w:b/>
          <w:sz w:val="32"/>
          <w:szCs w:val="32"/>
        </w:rPr>
        <w:t>）市文化广电和旅游局。</w:t>
      </w:r>
      <w:r>
        <w:rPr>
          <w:rFonts w:hint="eastAsia" w:ascii="仿宋_GB2312" w:hAnsi="仿宋_GB2312" w:eastAsia="仿宋_GB2312" w:cs="仿宋_GB2312"/>
          <w:sz w:val="32"/>
          <w:szCs w:val="32"/>
        </w:rPr>
        <w:t>负责所属广播电视设施、旅游景区等各类窨井盖的普查、确权、建档、整治提升和日常监管工作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负责督导全市广播电视和旅游行业各类窨井盖的整治提升工作。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 w:cs="Times New Roman"/>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十</w:t>
      </w:r>
      <w:r>
        <w:rPr>
          <w:rFonts w:hint="eastAsia" w:ascii="楷体_GB2312" w:hAnsi="楷体_GB2312" w:eastAsia="楷体_GB2312" w:cs="楷体_GB2312"/>
          <w:b/>
          <w:sz w:val="32"/>
          <w:szCs w:val="32"/>
          <w:lang w:eastAsia="zh-CN"/>
        </w:rPr>
        <w:t>二</w:t>
      </w:r>
      <w:r>
        <w:rPr>
          <w:rFonts w:hint="eastAsia" w:ascii="楷体_GB2312" w:hAnsi="楷体_GB2312" w:eastAsia="楷体_GB2312" w:cs="楷体_GB2312"/>
          <w:b/>
          <w:sz w:val="32"/>
          <w:szCs w:val="32"/>
        </w:rPr>
        <w:t>）市市场监管局。</w:t>
      </w:r>
      <w:r>
        <w:rPr>
          <w:rFonts w:hint="eastAsia" w:ascii="仿宋_GB2312" w:hAnsi="仿宋_GB2312" w:eastAsia="仿宋_GB2312" w:cs="仿宋_GB2312"/>
          <w:sz w:val="32"/>
          <w:szCs w:val="32"/>
        </w:rPr>
        <w:t>负责窨井盖产品生产、销售环节的质量监管。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 w:cs="Times New Roman"/>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十</w:t>
      </w:r>
      <w:r>
        <w:rPr>
          <w:rFonts w:hint="eastAsia" w:ascii="楷体_GB2312" w:hAnsi="楷体_GB2312" w:eastAsia="楷体_GB2312" w:cs="楷体_GB2312"/>
          <w:b/>
          <w:sz w:val="32"/>
          <w:szCs w:val="32"/>
          <w:lang w:eastAsia="zh-CN"/>
        </w:rPr>
        <w:t>三</w:t>
      </w:r>
      <w:r>
        <w:rPr>
          <w:rFonts w:hint="eastAsia" w:ascii="楷体_GB2312" w:hAnsi="楷体_GB2312" w:eastAsia="楷体_GB2312" w:cs="楷体_GB2312"/>
          <w:b/>
          <w:sz w:val="32"/>
          <w:szCs w:val="32"/>
        </w:rPr>
        <w:t>）市财政局。</w:t>
      </w:r>
      <w:r>
        <w:rPr>
          <w:rFonts w:hint="eastAsia" w:ascii="仿宋_GB2312" w:hAnsi="仿宋_GB2312" w:eastAsia="仿宋_GB2312" w:cs="仿宋_GB2312"/>
          <w:sz w:val="32"/>
          <w:szCs w:val="32"/>
        </w:rPr>
        <w:t>负责落实窨井盖专项整治资金。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 w:cs="Times New Roman"/>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十四）</w:t>
      </w:r>
      <w:r>
        <w:rPr>
          <w:rFonts w:hint="eastAsia" w:ascii="楷体_GB2312" w:hAnsi="楷体_GB2312" w:eastAsia="楷体_GB2312" w:cs="楷体_GB2312"/>
          <w:b/>
          <w:sz w:val="32"/>
          <w:szCs w:val="32"/>
          <w:lang w:eastAsia="zh-CN"/>
        </w:rPr>
        <w:t>市</w:t>
      </w:r>
      <w:r>
        <w:rPr>
          <w:rFonts w:hint="eastAsia" w:ascii="楷体_GB2312" w:hAnsi="楷体_GB2312" w:eastAsia="楷体_GB2312" w:cs="楷体_GB2312"/>
          <w:b/>
          <w:sz w:val="32"/>
          <w:szCs w:val="32"/>
        </w:rPr>
        <w:t>供电公司。</w:t>
      </w:r>
      <w:r>
        <w:rPr>
          <w:rFonts w:hint="eastAsia" w:ascii="仿宋_GB2312" w:hAnsi="仿宋_GB2312" w:eastAsia="仿宋_GB2312" w:cs="仿宋_GB2312"/>
          <w:sz w:val="32"/>
          <w:szCs w:val="32"/>
        </w:rPr>
        <w:t>负责本系统所有窨井盖的普查、确权、建档、整治提升、日常监管、资金保障工作。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 w:cs="Times New Roman"/>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十五）</w:t>
      </w:r>
      <w:r>
        <w:rPr>
          <w:rFonts w:hint="eastAsia" w:ascii="楷体_GB2312" w:hAnsi="楷体_GB2312" w:eastAsia="楷体_GB2312" w:cs="楷体_GB2312"/>
          <w:b/>
          <w:sz w:val="32"/>
          <w:szCs w:val="32"/>
          <w:lang w:eastAsia="zh-CN"/>
        </w:rPr>
        <w:t>市</w:t>
      </w:r>
      <w:r>
        <w:rPr>
          <w:rFonts w:hint="eastAsia" w:ascii="楷体_GB2312" w:hAnsi="楷体_GB2312" w:eastAsia="楷体_GB2312" w:cs="楷体_GB2312"/>
          <w:b/>
          <w:sz w:val="32"/>
          <w:szCs w:val="32"/>
        </w:rPr>
        <w:t>移动公司。</w:t>
      </w:r>
      <w:r>
        <w:rPr>
          <w:rFonts w:hint="eastAsia" w:ascii="仿宋_GB2312" w:hAnsi="仿宋_GB2312" w:eastAsia="仿宋_GB2312" w:cs="仿宋_GB2312"/>
          <w:sz w:val="32"/>
          <w:szCs w:val="32"/>
        </w:rPr>
        <w:t>负责本系统所有窨井盖的普查、确权、建档、整治提升、日常监管、资金保障工作。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 w:cs="Times New Roman"/>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十六）</w:t>
      </w:r>
      <w:r>
        <w:rPr>
          <w:rFonts w:hint="eastAsia" w:ascii="楷体_GB2312" w:hAnsi="楷体_GB2312" w:eastAsia="楷体_GB2312" w:cs="楷体_GB2312"/>
          <w:b/>
          <w:sz w:val="32"/>
          <w:szCs w:val="32"/>
          <w:lang w:eastAsia="zh-CN"/>
        </w:rPr>
        <w:t>市</w:t>
      </w:r>
      <w:r>
        <w:rPr>
          <w:rFonts w:hint="eastAsia" w:ascii="楷体_GB2312" w:hAnsi="楷体_GB2312" w:eastAsia="楷体_GB2312" w:cs="楷体_GB2312"/>
          <w:b/>
          <w:sz w:val="32"/>
          <w:szCs w:val="32"/>
        </w:rPr>
        <w:t>联通公司。</w:t>
      </w:r>
      <w:r>
        <w:rPr>
          <w:rFonts w:hint="eastAsia" w:ascii="仿宋_GB2312" w:hAnsi="仿宋_GB2312" w:eastAsia="仿宋_GB2312" w:cs="仿宋_GB2312"/>
          <w:sz w:val="32"/>
          <w:szCs w:val="32"/>
        </w:rPr>
        <w:t>负责本系统所有窨井盖的普查、确权、建档、整治提升、日常监管、资金保障工作。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十七）</w:t>
      </w:r>
      <w:r>
        <w:rPr>
          <w:rFonts w:hint="eastAsia" w:ascii="楷体_GB2312" w:hAnsi="楷体_GB2312" w:eastAsia="楷体_GB2312" w:cs="楷体_GB2312"/>
          <w:b/>
          <w:sz w:val="32"/>
          <w:szCs w:val="32"/>
          <w:lang w:eastAsia="zh-CN"/>
        </w:rPr>
        <w:t>市</w:t>
      </w:r>
      <w:r>
        <w:rPr>
          <w:rFonts w:hint="eastAsia" w:ascii="楷体_GB2312" w:hAnsi="楷体_GB2312" w:eastAsia="楷体_GB2312" w:cs="楷体_GB2312"/>
          <w:b/>
          <w:sz w:val="32"/>
          <w:szCs w:val="32"/>
        </w:rPr>
        <w:t>电信公司。</w:t>
      </w:r>
      <w:r>
        <w:rPr>
          <w:rFonts w:hint="eastAsia" w:ascii="仿宋_GB2312" w:hAnsi="仿宋_GB2312" w:eastAsia="仿宋_GB2312" w:cs="仿宋_GB2312"/>
          <w:sz w:val="32"/>
          <w:szCs w:val="32"/>
        </w:rPr>
        <w:t>负责本系统所有窨井盖的普查、确权、建档、整治提升、日常监管、资金保障工作。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公共机构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机关、事业单位、医院、学校、文化体育科技类场馆等）、居民小区、企业内部等的窨井盖，由各权属单位负责普查治理和日常监管，对所有权人、管理人、使用人之间有约定的，由约定的责任人负责维修、养护管理，属地政府</w:t>
      </w:r>
      <w:r>
        <w:rPr>
          <w:rFonts w:hint="eastAsia" w:ascii="仿宋_GB2312" w:hAnsi="仿宋_GB2312" w:eastAsia="仿宋_GB2312" w:cs="仿宋_GB2312"/>
          <w:sz w:val="32"/>
          <w:szCs w:val="32"/>
          <w:lang w:eastAsia="zh-CN"/>
        </w:rPr>
        <w:t>（办事处</w:t>
      </w:r>
      <w:r>
        <w:rPr>
          <w:rFonts w:hint="eastAsia" w:ascii="仿宋_GB2312" w:hAnsi="仿宋_GB2312" w:eastAsia="仿宋_GB2312" w:cs="仿宋_GB2312"/>
          <w:sz w:val="32"/>
          <w:szCs w:val="32"/>
        </w:rPr>
        <w:t>）负责督导整治提升工作。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 w:cs="Times New Roman"/>
          <w:sz w:val="32"/>
          <w:szCs w:val="32"/>
        </w:rPr>
      </w:pPr>
      <w:r>
        <w:rPr>
          <w:rFonts w:hint="eastAsia" w:ascii="仿宋_GB2312" w:hAnsi="仿宋_GB2312" w:eastAsia="仿宋_GB2312" w:cs="仿宋_GB2312"/>
          <w:sz w:val="32"/>
          <w:szCs w:val="32"/>
        </w:rPr>
        <w:t>对无法确认产权单位、无物业服务单位的居民小区、城中村、</w:t>
      </w:r>
      <w:r>
        <w:rPr>
          <w:rFonts w:hint="eastAsia" w:ascii="仿宋_GB2312" w:hAnsi="仿宋_GB2312" w:eastAsia="仿宋_GB2312" w:cs="仿宋_GB2312"/>
          <w:sz w:val="32"/>
          <w:szCs w:val="32"/>
          <w:highlight w:val="none"/>
        </w:rPr>
        <w:t>城乡结合部</w:t>
      </w:r>
      <w:r>
        <w:rPr>
          <w:rFonts w:hint="eastAsia" w:ascii="仿宋_GB2312" w:hAnsi="仿宋_GB2312" w:eastAsia="仿宋_GB2312" w:cs="仿宋_GB2312"/>
          <w:sz w:val="32"/>
          <w:szCs w:val="32"/>
        </w:rPr>
        <w:t>以及</w:t>
      </w:r>
      <w:r>
        <w:rPr>
          <w:rFonts w:hint="eastAsia" w:ascii="仿宋_GB2312" w:hAnsi="仿宋_GB2312" w:eastAsia="仿宋_GB2312" w:cs="仿宋_GB2312"/>
          <w:color w:val="auto"/>
          <w:sz w:val="32"/>
          <w:szCs w:val="32"/>
          <w:lang w:eastAsia="zh-CN"/>
        </w:rPr>
        <w:t>各</w:t>
      </w:r>
      <w:r>
        <w:rPr>
          <w:rFonts w:hint="eastAsia" w:ascii="仿宋_GB2312" w:hAnsi="仿宋_GB2312" w:eastAsia="仿宋_GB2312" w:cs="仿宋_GB2312"/>
          <w:color w:val="auto"/>
          <w:sz w:val="32"/>
          <w:szCs w:val="32"/>
          <w:lang w:val="en-US" w:eastAsia="zh-CN"/>
        </w:rPr>
        <w:t>镇（办）</w:t>
      </w:r>
      <w:r>
        <w:rPr>
          <w:rFonts w:hint="eastAsia" w:ascii="仿宋_GB2312" w:hAnsi="仿宋_GB2312" w:eastAsia="仿宋_GB2312" w:cs="仿宋_GB2312"/>
          <w:sz w:val="32"/>
          <w:szCs w:val="32"/>
        </w:rPr>
        <w:t>范围内的各类窨井盖由属地</w:t>
      </w:r>
      <w:r>
        <w:rPr>
          <w:rFonts w:hint="eastAsia" w:ascii="仿宋_GB2312" w:hAnsi="仿宋_GB2312" w:eastAsia="仿宋_GB2312" w:cs="仿宋_GB2312"/>
          <w:sz w:val="32"/>
          <w:szCs w:val="32"/>
          <w:lang w:val="en-US" w:eastAsia="zh-CN"/>
        </w:rPr>
        <w:t>镇（办）</w:t>
      </w:r>
      <w:r>
        <w:rPr>
          <w:rFonts w:hint="eastAsia" w:ascii="仿宋_GB2312" w:hAnsi="仿宋_GB2312" w:eastAsia="仿宋_GB2312" w:cs="仿宋_GB2312"/>
          <w:sz w:val="32"/>
          <w:szCs w:val="32"/>
        </w:rPr>
        <w:t>明确管理单位，并负责督导整治提升工作。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黑体" w:cs="Times New Roman"/>
          <w:sz w:val="32"/>
          <w:szCs w:val="32"/>
        </w:rPr>
      </w:pPr>
      <w:r>
        <w:rPr>
          <w:rFonts w:hint="eastAsia" w:eastAsia="黑体" w:cs="Times New Roman"/>
          <w:sz w:val="32"/>
          <w:szCs w:val="32"/>
        </w:rPr>
        <w:t>七</w:t>
      </w:r>
      <w:r>
        <w:rPr>
          <w:rFonts w:eastAsia="黑体" w:cs="Times New Roman"/>
          <w:sz w:val="32"/>
          <w:szCs w:val="32"/>
        </w:rPr>
        <w:t>、</w:t>
      </w:r>
      <w:r>
        <w:rPr>
          <w:rFonts w:hint="eastAsia" w:eastAsia="黑体" w:cs="Times New Roman"/>
          <w:sz w:val="32"/>
          <w:szCs w:val="32"/>
        </w:rPr>
        <w:t>工作要求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eastAsia="楷体" w:cs="Times New Roman"/>
          <w:b/>
          <w:sz w:val="32"/>
          <w:szCs w:val="32"/>
          <w:lang w:eastAsia="zh-CN"/>
        </w:rPr>
        <w:t>（</w:t>
      </w:r>
      <w:r>
        <w:rPr>
          <w:rFonts w:eastAsia="楷体" w:cs="Times New Roman"/>
          <w:b/>
          <w:sz w:val="32"/>
          <w:szCs w:val="32"/>
        </w:rPr>
        <w:t>一）加强组织领导。</w:t>
      </w:r>
      <w:r>
        <w:rPr>
          <w:rFonts w:hint="eastAsia" w:ascii="仿宋_GB2312" w:hAnsi="仿宋_GB2312" w:eastAsia="仿宋_GB2312" w:cs="仿宋_GB2312"/>
          <w:sz w:val="32"/>
          <w:szCs w:val="32"/>
        </w:rPr>
        <w:t>市政府成立由分管副市长任组长，</w:t>
      </w:r>
      <w:r>
        <w:rPr>
          <w:rFonts w:hint="eastAsia" w:ascii="仿宋_GB2312" w:hAnsi="仿宋_GB2312" w:eastAsia="仿宋_GB2312" w:cs="仿宋_GB2312"/>
          <w:sz w:val="32"/>
          <w:szCs w:val="32"/>
          <w:lang w:eastAsia="zh-CN"/>
        </w:rPr>
        <w:t>市政府办</w:t>
      </w:r>
      <w:r>
        <w:rPr>
          <w:rFonts w:hint="eastAsia" w:ascii="仿宋_GB2312" w:hAnsi="仿宋_GB2312" w:eastAsia="仿宋_GB2312" w:cs="仿宋_GB2312"/>
          <w:sz w:val="32"/>
          <w:szCs w:val="32"/>
        </w:rPr>
        <w:t>分管副</w:t>
      </w:r>
      <w:r>
        <w:rPr>
          <w:rFonts w:hint="eastAsia" w:ascii="仿宋_GB2312" w:hAnsi="仿宋_GB2312" w:eastAsia="仿宋_GB2312" w:cs="仿宋_GB2312"/>
          <w:sz w:val="32"/>
          <w:szCs w:val="32"/>
          <w:lang w:eastAsia="zh-CN"/>
        </w:rPr>
        <w:t>主任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城管局局长任副组长，各</w:t>
      </w:r>
      <w:r>
        <w:rPr>
          <w:rFonts w:hint="eastAsia" w:ascii="仿宋_GB2312" w:hAnsi="仿宋_GB2312" w:eastAsia="仿宋_GB2312" w:cs="仿宋_GB2312"/>
          <w:sz w:val="32"/>
          <w:szCs w:val="32"/>
          <w:lang w:val="en-US" w:eastAsia="zh-CN"/>
        </w:rPr>
        <w:t>镇（办）</w:t>
      </w:r>
      <w:r>
        <w:rPr>
          <w:rFonts w:hint="eastAsia" w:ascii="仿宋_GB2312" w:hAnsi="仿宋_GB2312" w:eastAsia="仿宋_GB2312" w:cs="仿宋_GB2312"/>
          <w:sz w:val="32"/>
          <w:szCs w:val="32"/>
        </w:rPr>
        <w:t>、市直有关部门、驻</w:t>
      </w:r>
      <w:r>
        <w:rPr>
          <w:rFonts w:hint="eastAsia" w:ascii="仿宋_GB2312" w:hAnsi="仿宋_GB2312" w:eastAsia="仿宋_GB2312" w:cs="仿宋_GB2312"/>
          <w:sz w:val="32"/>
          <w:szCs w:val="32"/>
          <w:lang w:val="en-US" w:eastAsia="zh-CN"/>
        </w:rPr>
        <w:t>长</w:t>
      </w:r>
      <w:r>
        <w:rPr>
          <w:rFonts w:hint="eastAsia" w:ascii="仿宋_GB2312" w:hAnsi="仿宋_GB2312" w:eastAsia="仿宋_GB2312" w:cs="仿宋_GB2312"/>
          <w:sz w:val="32"/>
          <w:szCs w:val="32"/>
        </w:rPr>
        <w:t>有关企业分管领导为成员的市公共区域窨井盖专项整治工作领导小组，承担专项整治期间全市公共区域窨井盖专项整治工作的组织领导、统筹协调、督促指导。领导小组下设办公室，办公室设在市城管局，负责领导小组的日常工作。各</w:t>
      </w:r>
      <w:r>
        <w:rPr>
          <w:rFonts w:hint="eastAsia" w:ascii="仿宋_GB2312" w:hAnsi="仿宋_GB2312" w:eastAsia="仿宋_GB2312" w:cs="仿宋_GB2312"/>
          <w:sz w:val="32"/>
          <w:szCs w:val="32"/>
          <w:lang w:val="en-US" w:eastAsia="zh-CN"/>
        </w:rPr>
        <w:t>镇（办）</w:t>
      </w:r>
      <w:r>
        <w:rPr>
          <w:rFonts w:hint="eastAsia" w:ascii="仿宋_GB2312" w:hAnsi="仿宋_GB2312" w:eastAsia="仿宋_GB2312" w:cs="仿宋_GB2312"/>
          <w:sz w:val="32"/>
          <w:szCs w:val="32"/>
        </w:rPr>
        <w:t>、市直有关部门、驻</w:t>
      </w:r>
      <w:r>
        <w:rPr>
          <w:rFonts w:hint="eastAsia" w:ascii="仿宋_GB2312" w:hAnsi="仿宋_GB2312" w:eastAsia="仿宋_GB2312" w:cs="仿宋_GB2312"/>
          <w:sz w:val="32"/>
          <w:szCs w:val="32"/>
          <w:lang w:val="en-US" w:eastAsia="zh-CN"/>
        </w:rPr>
        <w:t>长</w:t>
      </w:r>
      <w:r>
        <w:rPr>
          <w:rFonts w:hint="eastAsia" w:ascii="仿宋_GB2312" w:hAnsi="仿宋_GB2312" w:eastAsia="仿宋_GB2312" w:cs="仿宋_GB2312"/>
          <w:sz w:val="32"/>
          <w:szCs w:val="32"/>
        </w:rPr>
        <w:t>有关企业要成立由分管领导任组长的窨井盖专项整治领导小组，明确</w:t>
      </w:r>
      <w:r>
        <w:rPr>
          <w:rFonts w:hint="eastAsia" w:ascii="仿宋_GB2312" w:hAnsi="仿宋_GB2312" w:eastAsia="仿宋_GB2312" w:cs="仿宋_GB2312"/>
          <w:sz w:val="32"/>
          <w:szCs w:val="32"/>
          <w:lang w:eastAsia="zh-CN"/>
        </w:rPr>
        <w:t>具体责任人</w:t>
      </w:r>
      <w:r>
        <w:rPr>
          <w:rFonts w:hint="eastAsia" w:ascii="仿宋_GB2312" w:hAnsi="仿宋_GB2312" w:eastAsia="仿宋_GB2312" w:cs="仿宋_GB2312"/>
          <w:sz w:val="32"/>
          <w:szCs w:val="32"/>
        </w:rPr>
        <w:t>，压实主体责任，制定专项整治工作方案，细化工作措施，定期研究解决工作难点和突出问题，建立工作例会、会商议事、督导检查、情况通报、信息报送等工作制度。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 w:cs="Times New Roman"/>
          <w:sz w:val="32"/>
          <w:szCs w:val="32"/>
        </w:rPr>
      </w:pPr>
      <w:r>
        <w:rPr>
          <w:rFonts w:hint="eastAsia" w:eastAsia="楷体" w:cs="Times New Roman"/>
          <w:b/>
          <w:sz w:val="32"/>
          <w:szCs w:val="32"/>
          <w:lang w:eastAsia="zh-CN"/>
        </w:rPr>
        <w:t>（</w:t>
      </w:r>
      <w:r>
        <w:rPr>
          <w:rFonts w:eastAsia="楷体" w:cs="Times New Roman"/>
          <w:b/>
          <w:sz w:val="32"/>
          <w:szCs w:val="32"/>
        </w:rPr>
        <w:t>二）</w:t>
      </w:r>
      <w:r>
        <w:rPr>
          <w:rFonts w:hint="eastAsia" w:eastAsia="楷体" w:cs="Times New Roman"/>
          <w:b/>
          <w:sz w:val="32"/>
          <w:szCs w:val="32"/>
        </w:rPr>
        <w:t>认真开展普查。</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镇（办）</w:t>
      </w:r>
      <w:r>
        <w:rPr>
          <w:rFonts w:hint="eastAsia" w:ascii="仿宋_GB2312" w:hAnsi="仿宋_GB2312" w:eastAsia="仿宋_GB2312" w:cs="仿宋_GB2312"/>
          <w:sz w:val="32"/>
          <w:szCs w:val="32"/>
        </w:rPr>
        <w:t>、各有关部门要按照责任分工，根据窨井盖专项整治方案，组织专业队伍，对照《窨井盖病害判定及维修技术标准》，认真完成所属各类窨井盖的普查、确权、建档工作，如实填写窨井盖普查基础数据统计表、窨井盖整治工作台账。2021年3月底前，将统计表、工作台账报市公共区域窨井盖专项整治工作领导小组办公室，中心城区窨井盖档案抄送至</w:t>
      </w:r>
      <w:r>
        <w:rPr>
          <w:rFonts w:hint="eastAsia" w:ascii="仿宋_GB2312" w:hAnsi="仿宋_GB2312" w:eastAsia="仿宋_GB2312" w:cs="仿宋_GB2312"/>
          <w:sz w:val="32"/>
          <w:szCs w:val="32"/>
          <w:highlight w:val="none"/>
        </w:rPr>
        <w:t>市数字化</w:t>
      </w:r>
      <w:r>
        <w:rPr>
          <w:rFonts w:hint="eastAsia" w:ascii="仿宋_GB2312" w:hAnsi="仿宋_GB2312" w:eastAsia="仿宋_GB2312" w:cs="仿宋_GB2312"/>
          <w:sz w:val="32"/>
          <w:szCs w:val="32"/>
        </w:rPr>
        <w:t>城市管理中心。2021年6月底前，要将城市公共区域窨井盖纳入数字化城市管理。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 w:cs="Times New Roman"/>
          <w:sz w:val="32"/>
          <w:szCs w:val="32"/>
        </w:rPr>
      </w:pPr>
      <w:r>
        <w:rPr>
          <w:rFonts w:hint="eastAsia" w:eastAsia="楷体" w:cs="Times New Roman"/>
          <w:b/>
          <w:sz w:val="32"/>
          <w:szCs w:val="32"/>
          <w:lang w:eastAsia="zh-CN"/>
        </w:rPr>
        <w:t>（</w:t>
      </w:r>
      <w:r>
        <w:rPr>
          <w:rFonts w:hint="eastAsia" w:eastAsia="楷体" w:cs="Times New Roman"/>
          <w:b/>
          <w:sz w:val="32"/>
          <w:szCs w:val="32"/>
        </w:rPr>
        <w:t>三</w:t>
      </w:r>
      <w:r>
        <w:rPr>
          <w:rFonts w:eastAsia="楷体" w:cs="Times New Roman"/>
          <w:b/>
          <w:sz w:val="32"/>
          <w:szCs w:val="32"/>
        </w:rPr>
        <w:t>）</w:t>
      </w:r>
      <w:r>
        <w:rPr>
          <w:rFonts w:hint="eastAsia" w:eastAsia="楷体" w:cs="Times New Roman"/>
          <w:b/>
          <w:sz w:val="32"/>
          <w:szCs w:val="32"/>
        </w:rPr>
        <w:t>全力开展整治。</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镇（办）</w:t>
      </w:r>
      <w:r>
        <w:rPr>
          <w:rFonts w:hint="eastAsia" w:ascii="仿宋_GB2312" w:hAnsi="仿宋_GB2312" w:eastAsia="仿宋_GB2312" w:cs="仿宋_GB2312"/>
          <w:sz w:val="32"/>
          <w:szCs w:val="32"/>
        </w:rPr>
        <w:t>、各有关部门要压实工作责任，认真做好窨井盖的整治提升工作，按照</w:t>
      </w:r>
      <w:r>
        <w:rPr>
          <w:rFonts w:hint="eastAsia" w:ascii="仿宋_GB2312" w:hAnsi="仿宋_GB2312" w:eastAsia="仿宋_GB2312" w:cs="仿宋_GB2312"/>
          <w:sz w:val="32"/>
          <w:szCs w:val="32"/>
          <w:lang w:eastAsia="zh-CN"/>
        </w:rPr>
        <w:t>问题井盖整治任务</w:t>
      </w:r>
      <w:r>
        <w:rPr>
          <w:rFonts w:hint="eastAsia" w:ascii="仿宋_GB2312" w:hAnsi="仿宋_GB2312" w:eastAsia="仿宋_GB2312" w:cs="仿宋_GB2312"/>
          <w:sz w:val="32"/>
          <w:szCs w:val="32"/>
        </w:rPr>
        <w:t>的工作目标，每年年初制定本年度窨井盖专项整治工作计划，报市公共区域窨井盖专项整治工作领导小组办公室。各</w:t>
      </w:r>
      <w:r>
        <w:rPr>
          <w:rFonts w:hint="eastAsia" w:ascii="仿宋_GB2312" w:hAnsi="仿宋_GB2312" w:eastAsia="仿宋_GB2312" w:cs="仿宋_GB2312"/>
          <w:sz w:val="32"/>
          <w:szCs w:val="32"/>
          <w:lang w:val="en-US" w:eastAsia="zh-CN"/>
        </w:rPr>
        <w:t>镇（办）</w:t>
      </w:r>
      <w:r>
        <w:rPr>
          <w:rFonts w:hint="eastAsia" w:ascii="仿宋_GB2312" w:hAnsi="仿宋_GB2312" w:eastAsia="仿宋_GB2312" w:cs="仿宋_GB2312"/>
          <w:sz w:val="32"/>
          <w:szCs w:val="32"/>
        </w:rPr>
        <w:t>、各有关部门要严格对照工作计划、工作台账和整治标准，全力开展整治提升工作，确保每年年底前完成本年度整治提升任务。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eastAsia="仿宋" w:cs="Times New Roman"/>
          <w:sz w:val="32"/>
          <w:szCs w:val="32"/>
        </w:rPr>
      </w:pPr>
      <w:r>
        <w:rPr>
          <w:rFonts w:hint="eastAsia" w:eastAsia="楷体" w:cs="Times New Roman"/>
          <w:b/>
          <w:sz w:val="32"/>
          <w:szCs w:val="32"/>
          <w:lang w:eastAsia="zh-CN"/>
        </w:rPr>
        <w:t>（</w:t>
      </w:r>
      <w:r>
        <w:rPr>
          <w:rFonts w:hint="eastAsia" w:eastAsia="楷体" w:cs="Times New Roman"/>
          <w:b/>
          <w:sz w:val="32"/>
          <w:szCs w:val="32"/>
        </w:rPr>
        <w:t>四</w:t>
      </w:r>
      <w:r>
        <w:rPr>
          <w:rFonts w:eastAsia="楷体" w:cs="Times New Roman"/>
          <w:b/>
          <w:sz w:val="32"/>
          <w:szCs w:val="32"/>
        </w:rPr>
        <w:t>）完善经费保障。</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镇（办）</w:t>
      </w:r>
      <w:r>
        <w:rPr>
          <w:rFonts w:hint="eastAsia" w:ascii="仿宋_GB2312" w:hAnsi="仿宋_GB2312" w:eastAsia="仿宋_GB2312" w:cs="仿宋_GB2312"/>
          <w:sz w:val="32"/>
          <w:szCs w:val="32"/>
        </w:rPr>
        <w:t>、各有关部门以及窨井设施权属部门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管理单位）要对本次窨井盖专项整治工作编列专项经费，确保专项整治工作的顺利推进。要将窨井盖维护管理经费纳入财政预算，确保在窨井设施出现安全隐患时，能够及时予以修复。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sz w:val="32"/>
          <w:szCs w:val="32"/>
        </w:rPr>
      </w:pPr>
      <w:r>
        <w:rPr>
          <w:rFonts w:hint="eastAsia" w:eastAsia="楷体" w:cs="Times New Roman"/>
          <w:b/>
          <w:sz w:val="32"/>
          <w:szCs w:val="32"/>
          <w:lang w:eastAsia="zh-CN"/>
        </w:rPr>
        <w:t>（</w:t>
      </w:r>
      <w:r>
        <w:rPr>
          <w:rFonts w:hint="eastAsia" w:eastAsia="楷体" w:cs="Times New Roman"/>
          <w:b/>
          <w:sz w:val="32"/>
          <w:szCs w:val="32"/>
        </w:rPr>
        <w:t>五</w:t>
      </w:r>
      <w:r>
        <w:rPr>
          <w:rFonts w:eastAsia="楷体" w:cs="Times New Roman"/>
          <w:b/>
          <w:sz w:val="32"/>
          <w:szCs w:val="32"/>
        </w:rPr>
        <w:t>）强化跟踪督导。</w:t>
      </w:r>
      <w:r>
        <w:rPr>
          <w:rFonts w:hint="eastAsia" w:ascii="仿宋_GB2312" w:hAnsi="仿宋_GB2312" w:eastAsia="仿宋_GB2312" w:cs="仿宋_GB2312"/>
          <w:sz w:val="32"/>
          <w:szCs w:val="32"/>
        </w:rPr>
        <w:t>市公共区域窨井盖专项整治工作领导小组办公室要加强专项整治工作的跟踪督导，不定期对各</w:t>
      </w:r>
      <w:r>
        <w:rPr>
          <w:rFonts w:hint="eastAsia" w:ascii="仿宋_GB2312" w:hAnsi="仿宋_GB2312" w:eastAsia="仿宋_GB2312" w:cs="仿宋_GB2312"/>
          <w:sz w:val="32"/>
          <w:szCs w:val="32"/>
          <w:lang w:val="en-US" w:eastAsia="zh-CN"/>
        </w:rPr>
        <w:t>镇（办）</w:t>
      </w:r>
      <w:r>
        <w:rPr>
          <w:rFonts w:hint="eastAsia" w:ascii="仿宋_GB2312" w:hAnsi="仿宋_GB2312" w:eastAsia="仿宋_GB2312" w:cs="仿宋_GB2312"/>
          <w:sz w:val="32"/>
          <w:szCs w:val="32"/>
        </w:rPr>
        <w:t>、各有关部门窨井盖普查、确权、建档和整治情况进行现场抽查，每年年底前组织有关部门对专项整治工作完成情况进行验收。建立通报制度，市公共区域窨井盖专项整治工作领导小组办公室定期通报各</w:t>
      </w:r>
      <w:r>
        <w:rPr>
          <w:rFonts w:hint="eastAsia" w:ascii="仿宋_GB2312" w:hAnsi="仿宋_GB2312" w:eastAsia="仿宋_GB2312" w:cs="仿宋_GB2312"/>
          <w:sz w:val="32"/>
          <w:szCs w:val="32"/>
          <w:lang w:val="en-US" w:eastAsia="zh-CN"/>
        </w:rPr>
        <w:t>镇（办）</w:t>
      </w:r>
      <w:r>
        <w:rPr>
          <w:rFonts w:hint="eastAsia" w:ascii="仿宋_GB2312" w:hAnsi="仿宋_GB2312" w:eastAsia="仿宋_GB2312" w:cs="仿宋_GB2312"/>
          <w:sz w:val="32"/>
          <w:szCs w:val="32"/>
        </w:rPr>
        <w:t>、各有关部门整治工作开展情况，对专项整治工作推进成效显著的部门给予表扬，对组织不力、落实不到位、整治效果差的部门进行全市通报批评或约谈。各</w:t>
      </w:r>
      <w:r>
        <w:rPr>
          <w:rFonts w:hint="eastAsia" w:ascii="仿宋_GB2312" w:hAnsi="仿宋_GB2312" w:eastAsia="仿宋_GB2312" w:cs="仿宋_GB2312"/>
          <w:sz w:val="32"/>
          <w:szCs w:val="32"/>
          <w:lang w:val="en-US" w:eastAsia="zh-CN"/>
        </w:rPr>
        <w:t>镇（办）</w:t>
      </w:r>
      <w:r>
        <w:rPr>
          <w:rFonts w:hint="eastAsia" w:ascii="仿宋_GB2312" w:hAnsi="仿宋_GB2312" w:eastAsia="仿宋_GB2312" w:cs="仿宋_GB2312"/>
          <w:sz w:val="32"/>
          <w:szCs w:val="32"/>
        </w:rPr>
        <w:t>、各有关部门要加强对辖区及所属部门专项整治工作的跟踪督导，督促窨井盖权属部门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管理单位）高标准高质量完成整治提升任务。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2" w:lineRule="exact"/>
        <w:ind w:left="1918" w:leftChars="304" w:hanging="1280" w:hangingChars="4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b w:val="0"/>
          <w:bCs w:val="0"/>
          <w:sz w:val="32"/>
          <w:szCs w:val="32"/>
          <w:lang w:eastAsia="zh-CN"/>
        </w:rPr>
        <w:t>长葛市城市公共区域</w:t>
      </w:r>
      <w:r>
        <w:rPr>
          <w:rFonts w:hint="eastAsia" w:ascii="仿宋_GB2312" w:hAnsi="仿宋_GB2312" w:eastAsia="仿宋_GB2312" w:cs="仿宋_GB2312"/>
          <w:b w:val="0"/>
          <w:bCs w:val="0"/>
          <w:sz w:val="32"/>
          <w:szCs w:val="32"/>
        </w:rPr>
        <w:t>窨井盖专项整治工作</w:t>
      </w:r>
      <w:r>
        <w:rPr>
          <w:rFonts w:hint="eastAsia" w:ascii="仿宋_GB2312" w:hAnsi="仿宋_GB2312" w:eastAsia="仿宋_GB2312" w:cs="仿宋_GB2312"/>
          <w:b w:val="0"/>
          <w:bCs w:val="0"/>
          <w:sz w:val="32"/>
          <w:szCs w:val="32"/>
          <w:lang w:eastAsia="zh-CN"/>
        </w:rPr>
        <w:t>领导小组成员名单（略）</w:t>
      </w:r>
    </w:p>
    <w:p>
      <w:pPr>
        <w:keepNext w:val="0"/>
        <w:keepLines w:val="0"/>
        <w:pageBreakBefore w:val="0"/>
        <w:widowControl w:val="0"/>
        <w:kinsoku/>
        <w:wordWrap/>
        <w:overflowPunct/>
        <w:topLinePunct w:val="0"/>
        <w:autoSpaceDE/>
        <w:autoSpaceDN/>
        <w:bidi w:val="0"/>
        <w:adjustRightInd/>
        <w:snapToGrid/>
        <w:spacing w:line="592" w:lineRule="exact"/>
        <w:ind w:firstLine="1500" w:firstLineChars="469"/>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2.窨井盖病害判定及维修技术标准</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1509" w:firstLineChars="490"/>
        <w:textAlignment w:val="auto"/>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3.</w:t>
      </w:r>
      <w:r>
        <w:rPr>
          <w:rFonts w:hint="eastAsia" w:ascii="仿宋_GB2312" w:hAnsi="仿宋_GB2312" w:eastAsia="仿宋_GB2312" w:cs="仿宋_GB2312"/>
          <w:spacing w:val="-6"/>
          <w:kern w:val="0"/>
          <w:sz w:val="32"/>
          <w:szCs w:val="32"/>
          <w:u w:val="single"/>
        </w:rPr>
        <w:t xml:space="preserve">      </w:t>
      </w:r>
      <w:r>
        <w:rPr>
          <w:rFonts w:hint="eastAsia" w:ascii="仿宋_GB2312" w:hAnsi="仿宋_GB2312" w:eastAsia="仿宋_GB2312" w:cs="仿宋_GB2312"/>
          <w:spacing w:val="-6"/>
          <w:kern w:val="0"/>
          <w:sz w:val="32"/>
          <w:szCs w:val="32"/>
        </w:rPr>
        <w:t>路</w:t>
      </w:r>
      <w:r>
        <w:rPr>
          <w:rFonts w:hint="eastAsia" w:ascii="仿宋_GB2312" w:hAnsi="仿宋_GB2312" w:eastAsia="仿宋_GB2312" w:cs="仿宋_GB2312"/>
          <w:spacing w:val="-6"/>
          <w:kern w:val="0"/>
          <w:sz w:val="32"/>
          <w:szCs w:val="32"/>
          <w:lang w:eastAsia="zh-CN"/>
        </w:rPr>
        <w:t>（</w:t>
      </w:r>
      <w:r>
        <w:rPr>
          <w:rFonts w:hint="eastAsia" w:ascii="仿宋_GB2312" w:hAnsi="仿宋_GB2312" w:eastAsia="仿宋_GB2312" w:cs="仿宋_GB2312"/>
          <w:spacing w:val="-6"/>
          <w:kern w:val="0"/>
          <w:sz w:val="32"/>
          <w:szCs w:val="32"/>
        </w:rPr>
        <w:t>起点—终点）窨井盖普查基础数据统计表</w:t>
      </w:r>
    </w:p>
    <w:p>
      <w:pPr>
        <w:keepNext w:val="0"/>
        <w:keepLines w:val="0"/>
        <w:pageBreakBefore w:val="0"/>
        <w:widowControl w:val="0"/>
        <w:kinsoku/>
        <w:wordWrap/>
        <w:overflowPunct/>
        <w:topLinePunct w:val="0"/>
        <w:autoSpaceDE/>
        <w:autoSpaceDN/>
        <w:bidi w:val="0"/>
        <w:adjustRightInd/>
        <w:snapToGrid/>
        <w:spacing w:line="600" w:lineRule="exact"/>
        <w:ind w:firstLine="1536" w:firstLineChars="48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起点—终点）窨井盖整治工作台账</w:t>
      </w:r>
    </w:p>
    <w:p>
      <w:pPr>
        <w:widowControl/>
        <w:jc w:val="left"/>
        <w:rPr>
          <w:rFonts w:eastAsia="仿宋" w:cs="Times New Roman"/>
          <w:sz w:val="32"/>
          <w:szCs w:val="32"/>
        </w:rPr>
      </w:pPr>
      <w:r>
        <w:rPr>
          <w:rFonts w:eastAsia="仿宋" w:cs="Times New Roman"/>
          <w:sz w:val="32"/>
          <w:szCs w:val="32"/>
        </w:rPr>
        <w:br w:type="page"/>
      </w:r>
    </w:p>
    <w:p>
      <w:pPr>
        <w:widowControl/>
        <w:jc w:val="left"/>
        <w:rPr>
          <w:rFonts w:ascii="黑体" w:hAnsi="黑体" w:eastAsia="黑体" w:cs="Times New Roman"/>
          <w:sz w:val="32"/>
          <w:szCs w:val="32"/>
        </w:rPr>
      </w:pPr>
    </w:p>
    <w:p>
      <w:pPr>
        <w:widowControl/>
        <w:jc w:val="left"/>
        <w:rPr>
          <w:rFonts w:hint="eastAsia" w:ascii="黑体" w:hAnsi="黑体" w:eastAsia="黑体" w:cs="Times New Roman"/>
          <w:sz w:val="32"/>
          <w:szCs w:val="32"/>
          <w:lang w:eastAsia="zh-CN"/>
        </w:rPr>
      </w:pPr>
      <w:r>
        <w:rPr>
          <w:rFonts w:ascii="黑体" w:hAnsi="黑体" w:eastAsia="黑体" w:cs="Times New Roman"/>
          <w:sz w:val="32"/>
          <w:szCs w:val="32"/>
        </w:rPr>
        <w:t>附件</w:t>
      </w:r>
      <w:r>
        <w:rPr>
          <w:rFonts w:hint="default" w:ascii="Times New Roman" w:hAnsi="Times New Roman" w:eastAsia="黑体" w:cs="Times New Roman"/>
          <w:sz w:val="32"/>
          <w:szCs w:val="32"/>
          <w:lang w:val="en-US" w:eastAsia="zh-CN"/>
        </w:rPr>
        <w:t>2</w:t>
      </w:r>
    </w:p>
    <w:p>
      <w:pPr>
        <w:jc w:val="center"/>
        <w:rPr>
          <w:rFonts w:eastAsia="方正小标宋简体" w:cs="Times New Roman"/>
          <w:sz w:val="44"/>
          <w:szCs w:val="32"/>
        </w:rPr>
      </w:pPr>
      <w:r>
        <w:rPr>
          <w:rFonts w:hint="eastAsia" w:ascii="黑体" w:hAnsi="黑体" w:eastAsia="黑体" w:cs="黑体"/>
          <w:sz w:val="44"/>
          <w:szCs w:val="32"/>
        </w:rPr>
        <w:t>窨井盖病害判定及维修技术标准</w:t>
      </w:r>
    </w:p>
    <w:tbl>
      <w:tblPr>
        <w:tblStyle w:val="10"/>
        <w:tblW w:w="8809"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1"/>
        <w:gridCol w:w="2684"/>
        <w:gridCol w:w="4683"/>
        <w:gridCol w:w="10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0" w:hRule="atLeast"/>
        </w:trPr>
        <w:tc>
          <w:tcPr>
            <w:tcW w:w="411" w:type="dxa"/>
            <w:vAlign w:val="center"/>
          </w:tcPr>
          <w:p>
            <w:pPr>
              <w:autoSpaceDE w:val="0"/>
              <w:autoSpaceDN w:val="0"/>
              <w:spacing w:line="240" w:lineRule="exact"/>
              <w:jc w:val="center"/>
              <w:rPr>
                <w:rFonts w:eastAsia="宋体" w:cs="Times New Roman"/>
                <w:b/>
                <w:kern w:val="0"/>
                <w:sz w:val="22"/>
                <w:lang w:eastAsia="en-US"/>
              </w:rPr>
            </w:pPr>
            <w:r>
              <w:rPr>
                <w:rFonts w:eastAsia="宋体" w:cs="Times New Roman"/>
                <w:b/>
                <w:kern w:val="0"/>
                <w:sz w:val="22"/>
                <w:lang w:eastAsia="en-US"/>
              </w:rPr>
              <w:t>序号</w:t>
            </w:r>
          </w:p>
        </w:tc>
        <w:tc>
          <w:tcPr>
            <w:tcW w:w="2684" w:type="dxa"/>
            <w:vAlign w:val="center"/>
          </w:tcPr>
          <w:p>
            <w:pPr>
              <w:autoSpaceDE w:val="0"/>
              <w:autoSpaceDN w:val="0"/>
              <w:spacing w:line="240" w:lineRule="exact"/>
              <w:jc w:val="center"/>
              <w:rPr>
                <w:rFonts w:eastAsia="宋体" w:cs="Times New Roman"/>
                <w:b/>
                <w:kern w:val="0"/>
                <w:sz w:val="22"/>
                <w:lang w:eastAsia="en-US"/>
              </w:rPr>
            </w:pPr>
            <w:r>
              <w:rPr>
                <w:rFonts w:eastAsia="宋体" w:cs="Times New Roman"/>
                <w:b/>
                <w:kern w:val="0"/>
                <w:sz w:val="22"/>
                <w:lang w:eastAsia="en-US"/>
              </w:rPr>
              <w:t>窨井井盖病害类别</w:t>
            </w:r>
          </w:p>
        </w:tc>
        <w:tc>
          <w:tcPr>
            <w:tcW w:w="4683" w:type="dxa"/>
            <w:vAlign w:val="center"/>
          </w:tcPr>
          <w:p>
            <w:pPr>
              <w:autoSpaceDE w:val="0"/>
              <w:autoSpaceDN w:val="0"/>
              <w:spacing w:line="240" w:lineRule="exact"/>
              <w:jc w:val="center"/>
              <w:rPr>
                <w:rFonts w:eastAsia="宋体" w:cs="Times New Roman"/>
                <w:b/>
                <w:kern w:val="0"/>
                <w:sz w:val="22"/>
                <w:lang w:eastAsia="en-US"/>
              </w:rPr>
            </w:pPr>
            <w:r>
              <w:rPr>
                <w:rFonts w:eastAsia="宋体" w:cs="Times New Roman"/>
                <w:b/>
                <w:kern w:val="0"/>
                <w:sz w:val="22"/>
                <w:lang w:eastAsia="en-US"/>
              </w:rPr>
              <w:t>维修措施及技术标准</w:t>
            </w:r>
          </w:p>
        </w:tc>
        <w:tc>
          <w:tcPr>
            <w:tcW w:w="1031" w:type="dxa"/>
            <w:vAlign w:val="center"/>
          </w:tcPr>
          <w:p>
            <w:pPr>
              <w:autoSpaceDE w:val="0"/>
              <w:autoSpaceDN w:val="0"/>
              <w:spacing w:line="240" w:lineRule="exact"/>
              <w:jc w:val="center"/>
              <w:rPr>
                <w:rFonts w:eastAsia="宋体" w:cs="Times New Roman"/>
                <w:b/>
                <w:kern w:val="0"/>
                <w:sz w:val="22"/>
                <w:lang w:eastAsia="en-US"/>
              </w:rPr>
            </w:pPr>
            <w:r>
              <w:rPr>
                <w:rFonts w:eastAsia="宋体" w:cs="Times New Roman"/>
                <w:b/>
                <w:kern w:val="0"/>
                <w:sz w:val="22"/>
                <w:lang w:eastAsia="en-US"/>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3" w:hRule="atLeast"/>
        </w:trPr>
        <w:tc>
          <w:tcPr>
            <w:tcW w:w="411" w:type="dxa"/>
            <w:vAlign w:val="center"/>
          </w:tcPr>
          <w:p>
            <w:pPr>
              <w:autoSpaceDE w:val="0"/>
              <w:autoSpaceDN w:val="0"/>
              <w:spacing w:line="240" w:lineRule="exact"/>
              <w:jc w:val="center"/>
              <w:rPr>
                <w:rFonts w:eastAsia="宋体" w:cs="Times New Roman"/>
                <w:kern w:val="0"/>
                <w:sz w:val="22"/>
                <w:lang w:eastAsia="en-US"/>
              </w:rPr>
            </w:pPr>
            <w:r>
              <w:rPr>
                <w:rFonts w:eastAsia="宋体" w:cs="Times New Roman"/>
                <w:kern w:val="0"/>
                <w:sz w:val="22"/>
                <w:lang w:eastAsia="en-US"/>
              </w:rPr>
              <w:t>1</w:t>
            </w:r>
          </w:p>
        </w:tc>
        <w:tc>
          <w:tcPr>
            <w:tcW w:w="2684" w:type="dxa"/>
            <w:vAlign w:val="center"/>
          </w:tcPr>
          <w:p>
            <w:pPr>
              <w:autoSpaceDE w:val="0"/>
              <w:autoSpaceDN w:val="0"/>
              <w:spacing w:line="240" w:lineRule="exact"/>
              <w:rPr>
                <w:rFonts w:eastAsia="宋体" w:cs="Times New Roman"/>
                <w:kern w:val="0"/>
                <w:sz w:val="22"/>
                <w:lang w:eastAsia="en-US"/>
              </w:rPr>
            </w:pPr>
            <w:r>
              <w:rPr>
                <w:rFonts w:eastAsia="宋体" w:cs="Times New Roman"/>
                <w:kern w:val="0"/>
                <w:sz w:val="22"/>
                <w:lang w:eastAsia="en-US"/>
              </w:rPr>
              <w:t>井盖缺失或井盖井座全部缺失</w:t>
            </w:r>
          </w:p>
        </w:tc>
        <w:tc>
          <w:tcPr>
            <w:tcW w:w="4683" w:type="dxa"/>
            <w:vAlign w:val="center"/>
          </w:tcPr>
          <w:p>
            <w:pPr>
              <w:autoSpaceDE w:val="0"/>
              <w:autoSpaceDN w:val="0"/>
              <w:spacing w:line="240" w:lineRule="exact"/>
              <w:rPr>
                <w:rFonts w:eastAsia="宋体" w:cs="Times New Roman"/>
                <w:kern w:val="0"/>
                <w:sz w:val="22"/>
                <w:lang w:eastAsia="en-US"/>
              </w:rPr>
            </w:pPr>
            <w:r>
              <w:rPr>
                <w:rFonts w:eastAsia="宋体" w:cs="Times New Roman"/>
                <w:kern w:val="0"/>
                <w:sz w:val="22"/>
                <w:lang w:eastAsia="en-US"/>
              </w:rPr>
              <w:t>车行道上安装防沉降球墨铸铁井盖，人行道安装同类型井盖、井盖井座。</w:t>
            </w:r>
          </w:p>
        </w:tc>
        <w:tc>
          <w:tcPr>
            <w:tcW w:w="1031" w:type="dxa"/>
            <w:vAlign w:val="center"/>
          </w:tcPr>
          <w:p>
            <w:pPr>
              <w:autoSpaceDE w:val="0"/>
              <w:autoSpaceDN w:val="0"/>
              <w:spacing w:line="240" w:lineRule="exact"/>
              <w:jc w:val="center"/>
              <w:rPr>
                <w:rFonts w:eastAsia="宋体" w:cs="Times New Roman"/>
                <w:kern w:val="0"/>
                <w:sz w:val="2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4" w:hRule="atLeast"/>
        </w:trPr>
        <w:tc>
          <w:tcPr>
            <w:tcW w:w="411" w:type="dxa"/>
            <w:vAlign w:val="center"/>
          </w:tcPr>
          <w:p>
            <w:pPr>
              <w:autoSpaceDE w:val="0"/>
              <w:autoSpaceDN w:val="0"/>
              <w:spacing w:line="240" w:lineRule="exact"/>
              <w:jc w:val="center"/>
              <w:rPr>
                <w:rFonts w:eastAsia="宋体" w:cs="Times New Roman"/>
                <w:kern w:val="0"/>
                <w:sz w:val="22"/>
                <w:lang w:eastAsia="en-US"/>
              </w:rPr>
            </w:pPr>
            <w:r>
              <w:rPr>
                <w:rFonts w:eastAsia="宋体" w:cs="Times New Roman"/>
                <w:kern w:val="0"/>
                <w:sz w:val="22"/>
                <w:lang w:eastAsia="en-US"/>
              </w:rPr>
              <w:t>2</w:t>
            </w:r>
          </w:p>
        </w:tc>
        <w:tc>
          <w:tcPr>
            <w:tcW w:w="2684" w:type="dxa"/>
            <w:vAlign w:val="center"/>
          </w:tcPr>
          <w:p>
            <w:pPr>
              <w:autoSpaceDE w:val="0"/>
              <w:autoSpaceDN w:val="0"/>
              <w:spacing w:line="240" w:lineRule="exact"/>
              <w:rPr>
                <w:rFonts w:eastAsia="宋体" w:cs="Times New Roman"/>
                <w:kern w:val="0"/>
                <w:sz w:val="22"/>
                <w:lang w:eastAsia="en-US"/>
              </w:rPr>
            </w:pPr>
            <w:r>
              <w:rPr>
                <w:rFonts w:eastAsia="宋体" w:cs="Times New Roman"/>
                <w:kern w:val="0"/>
                <w:sz w:val="22"/>
                <w:lang w:eastAsia="en-US"/>
              </w:rPr>
              <w:t>井盖井座与路面之间出现脱离、松动问题</w:t>
            </w:r>
          </w:p>
        </w:tc>
        <w:tc>
          <w:tcPr>
            <w:tcW w:w="4683" w:type="dxa"/>
            <w:vAlign w:val="center"/>
          </w:tcPr>
          <w:p>
            <w:pPr>
              <w:autoSpaceDE w:val="0"/>
              <w:autoSpaceDN w:val="0"/>
              <w:spacing w:line="240" w:lineRule="exact"/>
              <w:rPr>
                <w:rFonts w:eastAsia="宋体" w:cs="Times New Roman"/>
                <w:kern w:val="0"/>
                <w:sz w:val="22"/>
                <w:lang w:eastAsia="en-US"/>
              </w:rPr>
            </w:pPr>
            <w:r>
              <w:rPr>
                <w:rFonts w:eastAsia="宋体" w:cs="Times New Roman"/>
                <w:kern w:val="0"/>
                <w:sz w:val="22"/>
                <w:lang w:eastAsia="en-US"/>
              </w:rPr>
              <w:t>拆除</w:t>
            </w:r>
            <w:r>
              <w:rPr>
                <w:rFonts w:eastAsia="宋体" w:cs="Times New Roman"/>
                <w:kern w:val="0"/>
                <w:sz w:val="22"/>
                <w:szCs w:val="22"/>
                <w:lang w:eastAsia="en-US"/>
              </w:rPr>
              <w:t>原井盖井座，重新安装。安装井座时，采用细石混凝土坐浆或灌浆，强度不应小于30Mpa。检查井井盖应安装稳固，井盖与路面平顺连接，高差应控制在±5</w:t>
            </w:r>
            <w:r>
              <w:rPr>
                <w:rFonts w:eastAsia="宋体" w:cs="Times New Roman"/>
                <w:kern w:val="0"/>
                <w:sz w:val="22"/>
                <w:szCs w:val="22"/>
                <w:highlight w:val="none"/>
                <w:lang w:eastAsia="en-US"/>
              </w:rPr>
              <w:t>m</w:t>
            </w:r>
            <w:r>
              <w:rPr>
                <w:rFonts w:eastAsia="宋体" w:cs="Times New Roman"/>
                <w:kern w:val="0"/>
                <w:sz w:val="22"/>
                <w:highlight w:val="none"/>
                <w:lang w:eastAsia="en-US"/>
              </w:rPr>
              <w:t>m</w:t>
            </w:r>
            <w:r>
              <w:rPr>
                <w:rFonts w:eastAsia="宋体" w:cs="Times New Roman"/>
                <w:kern w:val="0"/>
                <w:sz w:val="22"/>
                <w:lang w:eastAsia="en-US"/>
              </w:rPr>
              <w:t>内。</w:t>
            </w:r>
          </w:p>
        </w:tc>
        <w:tc>
          <w:tcPr>
            <w:tcW w:w="1031" w:type="dxa"/>
            <w:vAlign w:val="center"/>
          </w:tcPr>
          <w:p>
            <w:pPr>
              <w:autoSpaceDE w:val="0"/>
              <w:autoSpaceDN w:val="0"/>
              <w:spacing w:line="240" w:lineRule="exact"/>
              <w:jc w:val="center"/>
              <w:rPr>
                <w:rFonts w:eastAsia="宋体" w:cs="Times New Roman"/>
                <w:kern w:val="0"/>
                <w:sz w:val="2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8" w:hRule="atLeast"/>
        </w:trPr>
        <w:tc>
          <w:tcPr>
            <w:tcW w:w="411" w:type="dxa"/>
            <w:vAlign w:val="center"/>
          </w:tcPr>
          <w:p>
            <w:pPr>
              <w:autoSpaceDE w:val="0"/>
              <w:autoSpaceDN w:val="0"/>
              <w:spacing w:line="240" w:lineRule="exact"/>
              <w:jc w:val="center"/>
              <w:rPr>
                <w:rFonts w:eastAsia="宋体" w:cs="Times New Roman"/>
                <w:kern w:val="0"/>
                <w:sz w:val="22"/>
                <w:lang w:eastAsia="en-US"/>
              </w:rPr>
            </w:pPr>
            <w:r>
              <w:rPr>
                <w:rFonts w:eastAsia="宋体" w:cs="Times New Roman"/>
                <w:kern w:val="0"/>
                <w:sz w:val="22"/>
                <w:lang w:eastAsia="en-US"/>
              </w:rPr>
              <w:t>3</w:t>
            </w:r>
          </w:p>
        </w:tc>
        <w:tc>
          <w:tcPr>
            <w:tcW w:w="2684" w:type="dxa"/>
            <w:vAlign w:val="center"/>
          </w:tcPr>
          <w:p>
            <w:pPr>
              <w:autoSpaceDE w:val="0"/>
              <w:autoSpaceDN w:val="0"/>
              <w:spacing w:line="240" w:lineRule="exact"/>
              <w:rPr>
                <w:rFonts w:eastAsia="宋体" w:cs="Times New Roman"/>
                <w:kern w:val="0"/>
                <w:sz w:val="22"/>
                <w:lang w:eastAsia="en-US"/>
              </w:rPr>
            </w:pPr>
            <w:r>
              <w:rPr>
                <w:rFonts w:eastAsia="宋体" w:cs="Times New Roman"/>
                <w:kern w:val="0"/>
                <w:sz w:val="22"/>
                <w:lang w:eastAsia="en-US"/>
              </w:rPr>
              <w:t>井盖出现开裂、变形、缺角、破损的</w:t>
            </w:r>
          </w:p>
        </w:tc>
        <w:tc>
          <w:tcPr>
            <w:tcW w:w="4683" w:type="dxa"/>
            <w:vAlign w:val="center"/>
          </w:tcPr>
          <w:p>
            <w:pPr>
              <w:autoSpaceDE w:val="0"/>
              <w:autoSpaceDN w:val="0"/>
              <w:spacing w:line="240" w:lineRule="exact"/>
              <w:rPr>
                <w:rFonts w:eastAsia="宋体" w:cs="Times New Roman"/>
                <w:kern w:val="0"/>
                <w:sz w:val="22"/>
                <w:lang w:eastAsia="en-US"/>
              </w:rPr>
            </w:pPr>
            <w:r>
              <w:rPr>
                <w:rFonts w:eastAsia="宋体" w:cs="Times New Roman"/>
                <w:kern w:val="0"/>
                <w:sz w:val="22"/>
                <w:lang w:eastAsia="en-US"/>
              </w:rPr>
              <w:t>更换新井盖。井盖与井框总间隙小于8毫米。检查井盖与井框高差应控制在</w:t>
            </w:r>
            <w:r>
              <w:rPr>
                <w:rFonts w:eastAsia="宋体" w:cs="Times New Roman"/>
                <w:kern w:val="0"/>
                <w:sz w:val="22"/>
                <w:szCs w:val="22"/>
                <w:lang w:eastAsia="en-US"/>
              </w:rPr>
              <w:t>±5</w:t>
            </w:r>
            <w:r>
              <w:rPr>
                <w:rFonts w:eastAsia="宋体" w:cs="Times New Roman"/>
                <w:kern w:val="0"/>
                <w:sz w:val="22"/>
                <w:lang w:eastAsia="en-US"/>
              </w:rPr>
              <w:t>毫米内，雨水</w:t>
            </w:r>
            <w:r>
              <w:rPr>
                <w:rFonts w:hint="eastAsia" w:eastAsia="宋体" w:cs="Times New Roman"/>
                <w:kern w:val="0"/>
                <w:sz w:val="22"/>
                <w:lang w:eastAsia="en-US"/>
              </w:rPr>
              <w:t>篦子</w:t>
            </w:r>
            <w:r>
              <w:rPr>
                <w:rFonts w:eastAsia="宋体" w:cs="Times New Roman"/>
                <w:kern w:val="0"/>
                <w:sz w:val="22"/>
                <w:lang w:eastAsia="en-US"/>
              </w:rPr>
              <w:t>井盖与井框高差应小于等于0或大于等于</w:t>
            </w:r>
            <w:r>
              <w:rPr>
                <w:rFonts w:hint="eastAsia" w:eastAsia="宋体" w:cs="Times New Roman"/>
                <w:kern w:val="0"/>
                <w:sz w:val="22"/>
                <w:lang w:eastAsia="en-US"/>
              </w:rPr>
              <w:t>-</w:t>
            </w:r>
            <w:r>
              <w:rPr>
                <w:rFonts w:eastAsia="宋体" w:cs="Times New Roman"/>
                <w:kern w:val="0"/>
                <w:sz w:val="22"/>
                <w:lang w:eastAsia="en-US"/>
              </w:rPr>
              <w:t>10</w:t>
            </w:r>
            <w:r>
              <w:rPr>
                <w:rFonts w:eastAsia="宋体" w:cs="Times New Roman"/>
                <w:kern w:val="0"/>
                <w:sz w:val="22"/>
                <w:highlight w:val="none"/>
                <w:lang w:eastAsia="en-US"/>
              </w:rPr>
              <w:t>mm</w:t>
            </w:r>
            <w:r>
              <w:rPr>
                <w:rFonts w:eastAsia="宋体" w:cs="Times New Roman"/>
                <w:kern w:val="0"/>
                <w:sz w:val="22"/>
                <w:lang w:eastAsia="en-US"/>
              </w:rPr>
              <w:t>。</w:t>
            </w:r>
          </w:p>
        </w:tc>
        <w:tc>
          <w:tcPr>
            <w:tcW w:w="1031" w:type="dxa"/>
            <w:vAlign w:val="center"/>
          </w:tcPr>
          <w:p>
            <w:pPr>
              <w:autoSpaceDE w:val="0"/>
              <w:autoSpaceDN w:val="0"/>
              <w:spacing w:line="240" w:lineRule="exact"/>
              <w:jc w:val="center"/>
              <w:rPr>
                <w:rFonts w:eastAsia="宋体" w:cs="Times New Roman"/>
                <w:kern w:val="0"/>
                <w:sz w:val="2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65" w:hRule="atLeast"/>
        </w:trPr>
        <w:tc>
          <w:tcPr>
            <w:tcW w:w="411" w:type="dxa"/>
            <w:vAlign w:val="center"/>
          </w:tcPr>
          <w:p>
            <w:pPr>
              <w:autoSpaceDE w:val="0"/>
              <w:autoSpaceDN w:val="0"/>
              <w:spacing w:line="240" w:lineRule="exact"/>
              <w:jc w:val="center"/>
              <w:rPr>
                <w:rFonts w:eastAsia="宋体" w:cs="Times New Roman"/>
                <w:kern w:val="0"/>
                <w:sz w:val="22"/>
                <w:lang w:eastAsia="en-US"/>
              </w:rPr>
            </w:pPr>
            <w:r>
              <w:rPr>
                <w:rFonts w:eastAsia="宋体" w:cs="Times New Roman"/>
                <w:kern w:val="0"/>
                <w:sz w:val="22"/>
                <w:lang w:eastAsia="en-US"/>
              </w:rPr>
              <w:t>4</w:t>
            </w:r>
          </w:p>
        </w:tc>
        <w:tc>
          <w:tcPr>
            <w:tcW w:w="2684" w:type="dxa"/>
            <w:vAlign w:val="center"/>
          </w:tcPr>
          <w:p>
            <w:pPr>
              <w:autoSpaceDE w:val="0"/>
              <w:autoSpaceDN w:val="0"/>
              <w:spacing w:line="240" w:lineRule="exact"/>
              <w:rPr>
                <w:rFonts w:eastAsia="宋体" w:cs="Times New Roman"/>
                <w:kern w:val="0"/>
                <w:sz w:val="22"/>
                <w:lang w:eastAsia="en-US"/>
              </w:rPr>
            </w:pPr>
            <w:r>
              <w:rPr>
                <w:rFonts w:eastAsia="宋体" w:cs="Times New Roman"/>
                <w:kern w:val="0"/>
                <w:sz w:val="22"/>
                <w:lang w:eastAsia="en-US"/>
              </w:rPr>
              <w:t>井周破损，井周1.5</w:t>
            </w:r>
            <w:r>
              <w:rPr>
                <w:rFonts w:hint="eastAsia" w:ascii="宋体" w:hAnsi="宋体" w:eastAsia="宋体" w:cs="Times New Roman"/>
                <w:kern w:val="0"/>
                <w:sz w:val="22"/>
                <w:lang w:eastAsia="en-US"/>
              </w:rPr>
              <w:t>×</w:t>
            </w:r>
            <w:r>
              <w:rPr>
                <w:rFonts w:eastAsia="宋体" w:cs="Times New Roman"/>
                <w:kern w:val="0"/>
                <w:sz w:val="22"/>
                <w:lang w:eastAsia="en-US"/>
              </w:rPr>
              <w:t>1.5米范围内路面出现碎裂、坑槽、变形、松散、脱层剥落的</w:t>
            </w:r>
          </w:p>
        </w:tc>
        <w:tc>
          <w:tcPr>
            <w:tcW w:w="4683" w:type="dxa"/>
            <w:vMerge w:val="restart"/>
            <w:vAlign w:val="center"/>
          </w:tcPr>
          <w:p>
            <w:pPr>
              <w:autoSpaceDE w:val="0"/>
              <w:autoSpaceDN w:val="0"/>
              <w:spacing w:line="240" w:lineRule="exact"/>
              <w:rPr>
                <w:rFonts w:eastAsia="宋体" w:cs="Times New Roman"/>
                <w:kern w:val="0"/>
                <w:sz w:val="22"/>
                <w:lang w:eastAsia="en-US"/>
              </w:rPr>
            </w:pPr>
            <w:r>
              <w:rPr>
                <w:rFonts w:hint="eastAsia" w:eastAsia="宋体" w:cs="Times New Roman"/>
                <w:kern w:val="0"/>
                <w:sz w:val="22"/>
                <w:lang w:eastAsia="en-US"/>
              </w:rPr>
              <w:t>①</w:t>
            </w:r>
            <w:r>
              <w:rPr>
                <w:rFonts w:eastAsia="宋体" w:cs="Times New Roman"/>
                <w:kern w:val="0"/>
                <w:sz w:val="22"/>
                <w:lang w:eastAsia="en-US"/>
              </w:rPr>
              <w:t>井周1.5</w:t>
            </w:r>
            <w:r>
              <w:rPr>
                <w:rFonts w:hint="eastAsia" w:ascii="宋体" w:hAnsi="宋体" w:eastAsia="宋体" w:cs="Times New Roman"/>
                <w:kern w:val="0"/>
                <w:sz w:val="22"/>
                <w:lang w:eastAsia="en-US"/>
              </w:rPr>
              <w:t>×</w:t>
            </w:r>
            <w:r>
              <w:rPr>
                <w:rFonts w:eastAsia="宋体" w:cs="Times New Roman"/>
                <w:kern w:val="0"/>
                <w:sz w:val="22"/>
                <w:lang w:eastAsia="en-US"/>
              </w:rPr>
              <w:t>1.5米的范围内原路面拆除重建，井盖框重新安装。</w:t>
            </w:r>
            <w:r>
              <w:rPr>
                <w:rFonts w:hint="eastAsia" w:eastAsia="宋体" w:cs="Times New Roman"/>
                <w:kern w:val="0"/>
                <w:sz w:val="22"/>
                <w:lang w:eastAsia="en-US"/>
              </w:rPr>
              <w:t>②</w:t>
            </w:r>
            <w:r>
              <w:rPr>
                <w:rFonts w:eastAsia="宋体" w:cs="Times New Roman"/>
                <w:kern w:val="0"/>
                <w:sz w:val="22"/>
                <w:lang w:eastAsia="en-US"/>
              </w:rPr>
              <w:t>井座周围和面层以下道路结构部分应</w:t>
            </w:r>
            <w:r>
              <w:rPr>
                <w:rFonts w:hint="eastAsia" w:eastAsia="宋体" w:cs="Times New Roman"/>
                <w:kern w:val="0"/>
                <w:sz w:val="22"/>
                <w:lang w:eastAsia="en-US"/>
              </w:rPr>
              <w:t>夯填</w:t>
            </w:r>
            <w:r>
              <w:rPr>
                <w:rFonts w:eastAsia="宋体" w:cs="Times New Roman"/>
                <w:kern w:val="0"/>
                <w:sz w:val="22"/>
                <w:lang w:eastAsia="en-US"/>
              </w:rPr>
              <w:t>密实，其强度和稳定性不应小于该处原道路结构要求。</w:t>
            </w:r>
            <w:r>
              <w:rPr>
                <w:rFonts w:hint="eastAsia" w:eastAsia="宋体" w:cs="Times New Roman"/>
                <w:kern w:val="0"/>
                <w:sz w:val="22"/>
                <w:lang w:eastAsia="en-US"/>
              </w:rPr>
              <w:t>③</w:t>
            </w:r>
            <w:r>
              <w:rPr>
                <w:rFonts w:eastAsia="宋体" w:cs="Times New Roman"/>
                <w:kern w:val="0"/>
                <w:sz w:val="22"/>
                <w:lang w:eastAsia="en-US"/>
              </w:rPr>
              <w:t>检查井井盖应安装稳固，井盖与路面平顺连接高差应控制在±5</w:t>
            </w:r>
            <w:r>
              <w:rPr>
                <w:rFonts w:eastAsia="宋体" w:cs="Times New Roman"/>
                <w:kern w:val="0"/>
                <w:sz w:val="22"/>
                <w:highlight w:val="none"/>
                <w:lang w:eastAsia="en-US"/>
              </w:rPr>
              <w:t>mm</w:t>
            </w:r>
            <w:r>
              <w:rPr>
                <w:rFonts w:eastAsia="宋体" w:cs="Times New Roman"/>
                <w:kern w:val="0"/>
                <w:sz w:val="22"/>
                <w:lang w:eastAsia="en-US"/>
              </w:rPr>
              <w:t>内</w:t>
            </w:r>
            <w:r>
              <w:rPr>
                <w:rFonts w:hint="eastAsia" w:eastAsia="宋体" w:cs="Times New Roman"/>
                <w:kern w:val="0"/>
                <w:sz w:val="22"/>
                <w:lang w:eastAsia="en-US"/>
              </w:rPr>
              <w:t>。④</w:t>
            </w:r>
            <w:r>
              <w:rPr>
                <w:rFonts w:eastAsia="宋体" w:cs="Times New Roman"/>
                <w:kern w:val="0"/>
                <w:sz w:val="22"/>
                <w:lang w:eastAsia="en-US"/>
              </w:rPr>
              <w:t>雨水</w:t>
            </w:r>
            <w:r>
              <w:rPr>
                <w:rFonts w:hint="eastAsia" w:eastAsia="宋体" w:cs="Times New Roman"/>
                <w:kern w:val="0"/>
                <w:sz w:val="22"/>
                <w:lang w:eastAsia="en-US"/>
              </w:rPr>
              <w:t>篦子</w:t>
            </w:r>
            <w:r>
              <w:rPr>
                <w:rFonts w:eastAsia="宋体" w:cs="Times New Roman"/>
                <w:kern w:val="0"/>
                <w:sz w:val="22"/>
                <w:lang w:eastAsia="en-US"/>
              </w:rPr>
              <w:t>应安装稳固，井盖与路面平顺连接，高差应小于等于0或大于等于-15</w:t>
            </w:r>
            <w:r>
              <w:rPr>
                <w:rFonts w:eastAsia="宋体" w:cs="Times New Roman"/>
                <w:kern w:val="0"/>
                <w:sz w:val="22"/>
                <w:highlight w:val="none"/>
                <w:lang w:eastAsia="en-US"/>
              </w:rPr>
              <w:t>mm</w:t>
            </w:r>
            <w:r>
              <w:rPr>
                <w:rFonts w:eastAsia="宋体" w:cs="Times New Roman"/>
                <w:kern w:val="0"/>
                <w:sz w:val="22"/>
                <w:lang w:eastAsia="en-US"/>
              </w:rPr>
              <w:t>。</w:t>
            </w:r>
          </w:p>
        </w:tc>
        <w:tc>
          <w:tcPr>
            <w:tcW w:w="1031" w:type="dxa"/>
            <w:vAlign w:val="center"/>
          </w:tcPr>
          <w:p>
            <w:pPr>
              <w:autoSpaceDE w:val="0"/>
              <w:autoSpaceDN w:val="0"/>
              <w:spacing w:line="240" w:lineRule="exact"/>
              <w:jc w:val="center"/>
              <w:rPr>
                <w:rFonts w:eastAsia="宋体" w:cs="Times New Roman"/>
                <w:kern w:val="0"/>
                <w:sz w:val="2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55" w:hRule="atLeast"/>
        </w:trPr>
        <w:tc>
          <w:tcPr>
            <w:tcW w:w="411" w:type="dxa"/>
            <w:vAlign w:val="center"/>
          </w:tcPr>
          <w:p>
            <w:pPr>
              <w:autoSpaceDE w:val="0"/>
              <w:autoSpaceDN w:val="0"/>
              <w:spacing w:line="240" w:lineRule="exact"/>
              <w:jc w:val="center"/>
              <w:rPr>
                <w:rFonts w:eastAsia="宋体" w:cs="Times New Roman"/>
                <w:kern w:val="0"/>
                <w:sz w:val="22"/>
                <w:lang w:eastAsia="en-US"/>
              </w:rPr>
            </w:pPr>
            <w:r>
              <w:rPr>
                <w:rFonts w:eastAsia="宋体" w:cs="Times New Roman"/>
                <w:kern w:val="0"/>
                <w:sz w:val="22"/>
                <w:lang w:eastAsia="en-US"/>
              </w:rPr>
              <w:t>5</w:t>
            </w:r>
          </w:p>
        </w:tc>
        <w:tc>
          <w:tcPr>
            <w:tcW w:w="2684" w:type="dxa"/>
            <w:vAlign w:val="center"/>
          </w:tcPr>
          <w:p>
            <w:pPr>
              <w:autoSpaceDE w:val="0"/>
              <w:autoSpaceDN w:val="0"/>
              <w:spacing w:line="240" w:lineRule="exact"/>
              <w:rPr>
                <w:rFonts w:eastAsia="宋体" w:cs="Times New Roman"/>
                <w:kern w:val="0"/>
                <w:sz w:val="22"/>
                <w:lang w:eastAsia="en-US"/>
              </w:rPr>
            </w:pPr>
            <w:r>
              <w:rPr>
                <w:rFonts w:eastAsia="宋体" w:cs="Times New Roman"/>
                <w:kern w:val="0"/>
                <w:sz w:val="22"/>
                <w:lang w:eastAsia="en-US"/>
              </w:rPr>
              <w:t>路框差超标，窨井井盖与相邻路面出现沉陷或凸起现象，检查井高差大于5</w:t>
            </w:r>
            <w:r>
              <w:rPr>
                <w:rFonts w:eastAsia="宋体" w:cs="Times New Roman"/>
                <w:kern w:val="0"/>
                <w:sz w:val="22"/>
                <w:highlight w:val="none"/>
                <w:lang w:eastAsia="en-US"/>
              </w:rPr>
              <w:t>mm</w:t>
            </w:r>
            <w:r>
              <w:rPr>
                <w:rFonts w:eastAsia="宋体" w:cs="Times New Roman"/>
                <w:kern w:val="0"/>
                <w:sz w:val="22"/>
                <w:lang w:eastAsia="en-US"/>
              </w:rPr>
              <w:t>或小于5</w:t>
            </w:r>
            <w:r>
              <w:rPr>
                <w:rFonts w:eastAsia="宋体" w:cs="Times New Roman"/>
                <w:kern w:val="0"/>
                <w:sz w:val="22"/>
                <w:highlight w:val="none"/>
                <w:lang w:eastAsia="en-US"/>
              </w:rPr>
              <w:t>mm</w:t>
            </w:r>
            <w:r>
              <w:rPr>
                <w:rFonts w:eastAsia="宋体" w:cs="Times New Roman"/>
                <w:kern w:val="0"/>
                <w:sz w:val="22"/>
                <w:lang w:eastAsia="en-US"/>
              </w:rPr>
              <w:t>，雨水</w:t>
            </w:r>
            <w:r>
              <w:rPr>
                <w:rFonts w:hint="eastAsia" w:eastAsia="宋体" w:cs="Times New Roman"/>
                <w:kern w:val="0"/>
                <w:sz w:val="22"/>
                <w:lang w:eastAsia="en-US"/>
              </w:rPr>
              <w:t>篦子</w:t>
            </w:r>
            <w:r>
              <w:rPr>
                <w:rFonts w:eastAsia="宋体" w:cs="Times New Roman"/>
                <w:kern w:val="0"/>
                <w:sz w:val="22"/>
                <w:lang w:eastAsia="en-US"/>
              </w:rPr>
              <w:t>高差大于0或小于</w:t>
            </w:r>
            <w:r>
              <w:rPr>
                <w:rFonts w:hint="eastAsia" w:eastAsia="宋体" w:cs="Times New Roman"/>
                <w:kern w:val="0"/>
                <w:sz w:val="22"/>
                <w:lang w:eastAsia="en-US"/>
              </w:rPr>
              <w:t>-</w:t>
            </w:r>
            <w:r>
              <w:rPr>
                <w:rFonts w:eastAsia="宋体" w:cs="Times New Roman"/>
                <w:kern w:val="0"/>
                <w:sz w:val="22"/>
                <w:lang w:eastAsia="en-US"/>
              </w:rPr>
              <w:t>15</w:t>
            </w:r>
            <w:r>
              <w:rPr>
                <w:rFonts w:eastAsia="宋体" w:cs="Times New Roman"/>
                <w:kern w:val="0"/>
                <w:sz w:val="22"/>
                <w:highlight w:val="none"/>
                <w:lang w:eastAsia="en-US"/>
              </w:rPr>
              <w:t>mm</w:t>
            </w:r>
            <w:r>
              <w:rPr>
                <w:rFonts w:eastAsia="宋体" w:cs="Times New Roman"/>
                <w:kern w:val="0"/>
                <w:sz w:val="22"/>
                <w:lang w:eastAsia="en-US"/>
              </w:rPr>
              <w:t>的</w:t>
            </w:r>
          </w:p>
        </w:tc>
        <w:tc>
          <w:tcPr>
            <w:tcW w:w="4683" w:type="dxa"/>
            <w:vMerge w:val="continue"/>
            <w:tcBorders>
              <w:top w:val="nil"/>
            </w:tcBorders>
            <w:vAlign w:val="center"/>
          </w:tcPr>
          <w:p>
            <w:pPr>
              <w:autoSpaceDE w:val="0"/>
              <w:autoSpaceDN w:val="0"/>
              <w:spacing w:line="240" w:lineRule="exact"/>
              <w:rPr>
                <w:rFonts w:eastAsia="宋体" w:cs="Times New Roman"/>
                <w:kern w:val="0"/>
                <w:sz w:val="22"/>
                <w:lang w:eastAsia="en-US"/>
              </w:rPr>
            </w:pPr>
          </w:p>
        </w:tc>
        <w:tc>
          <w:tcPr>
            <w:tcW w:w="1031" w:type="dxa"/>
            <w:vAlign w:val="center"/>
          </w:tcPr>
          <w:p>
            <w:pPr>
              <w:autoSpaceDE w:val="0"/>
              <w:autoSpaceDN w:val="0"/>
              <w:spacing w:line="240" w:lineRule="exact"/>
              <w:jc w:val="center"/>
              <w:rPr>
                <w:rFonts w:eastAsia="宋体" w:cs="Times New Roman"/>
                <w:kern w:val="0"/>
                <w:sz w:val="2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6" w:hRule="atLeast"/>
        </w:trPr>
        <w:tc>
          <w:tcPr>
            <w:tcW w:w="411" w:type="dxa"/>
            <w:vAlign w:val="center"/>
          </w:tcPr>
          <w:p>
            <w:pPr>
              <w:autoSpaceDE w:val="0"/>
              <w:autoSpaceDN w:val="0"/>
              <w:spacing w:line="240" w:lineRule="exact"/>
              <w:jc w:val="center"/>
              <w:rPr>
                <w:rFonts w:eastAsia="宋体" w:cs="Times New Roman"/>
                <w:kern w:val="0"/>
                <w:sz w:val="22"/>
                <w:lang w:eastAsia="en-US"/>
              </w:rPr>
            </w:pPr>
            <w:r>
              <w:rPr>
                <w:rFonts w:eastAsia="宋体" w:cs="Times New Roman"/>
                <w:kern w:val="0"/>
                <w:sz w:val="22"/>
                <w:lang w:eastAsia="en-US"/>
              </w:rPr>
              <w:t>6</w:t>
            </w:r>
          </w:p>
        </w:tc>
        <w:tc>
          <w:tcPr>
            <w:tcW w:w="2684" w:type="dxa"/>
            <w:vAlign w:val="center"/>
          </w:tcPr>
          <w:p>
            <w:pPr>
              <w:autoSpaceDE w:val="0"/>
              <w:autoSpaceDN w:val="0"/>
              <w:spacing w:line="240" w:lineRule="exact"/>
              <w:rPr>
                <w:rFonts w:eastAsia="宋体" w:cs="Times New Roman"/>
                <w:kern w:val="0"/>
                <w:sz w:val="22"/>
                <w:lang w:eastAsia="en-US"/>
              </w:rPr>
            </w:pPr>
            <w:r>
              <w:rPr>
                <w:rFonts w:eastAsia="宋体" w:cs="Times New Roman"/>
                <w:kern w:val="0"/>
                <w:sz w:val="22"/>
                <w:lang w:eastAsia="en-US"/>
              </w:rPr>
              <w:t>窨井井盖存在歪斜、响动、反扣等问题的</w:t>
            </w:r>
          </w:p>
        </w:tc>
        <w:tc>
          <w:tcPr>
            <w:tcW w:w="4683" w:type="dxa"/>
            <w:vAlign w:val="center"/>
          </w:tcPr>
          <w:p>
            <w:pPr>
              <w:autoSpaceDE w:val="0"/>
              <w:autoSpaceDN w:val="0"/>
              <w:spacing w:line="240" w:lineRule="exact"/>
              <w:rPr>
                <w:rFonts w:eastAsia="宋体" w:cs="Times New Roman"/>
                <w:kern w:val="0"/>
                <w:sz w:val="22"/>
                <w:lang w:eastAsia="en-US"/>
              </w:rPr>
            </w:pPr>
            <w:r>
              <w:rPr>
                <w:rFonts w:eastAsia="宋体" w:cs="Times New Roman"/>
                <w:kern w:val="0"/>
                <w:sz w:val="22"/>
                <w:lang w:eastAsia="en-US"/>
              </w:rPr>
              <w:t>重新将井盖复位，使之稳固。若发生响动的井盖应安装防震橡胶圈与井盖底部或井座连接牢固平整。</w:t>
            </w:r>
          </w:p>
        </w:tc>
        <w:tc>
          <w:tcPr>
            <w:tcW w:w="1031" w:type="dxa"/>
            <w:vAlign w:val="center"/>
          </w:tcPr>
          <w:p>
            <w:pPr>
              <w:autoSpaceDE w:val="0"/>
              <w:autoSpaceDN w:val="0"/>
              <w:spacing w:line="240" w:lineRule="exact"/>
              <w:jc w:val="center"/>
              <w:rPr>
                <w:rFonts w:eastAsia="宋体" w:cs="Times New Roman"/>
                <w:kern w:val="0"/>
                <w:sz w:val="2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8" w:hRule="atLeast"/>
        </w:trPr>
        <w:tc>
          <w:tcPr>
            <w:tcW w:w="411" w:type="dxa"/>
            <w:vAlign w:val="center"/>
          </w:tcPr>
          <w:p>
            <w:pPr>
              <w:autoSpaceDE w:val="0"/>
              <w:autoSpaceDN w:val="0"/>
              <w:spacing w:line="240" w:lineRule="exact"/>
              <w:jc w:val="center"/>
              <w:rPr>
                <w:rFonts w:eastAsia="宋体" w:cs="Times New Roman"/>
                <w:kern w:val="0"/>
                <w:sz w:val="22"/>
                <w:lang w:eastAsia="en-US"/>
              </w:rPr>
            </w:pPr>
            <w:r>
              <w:rPr>
                <w:rFonts w:eastAsia="宋体" w:cs="Times New Roman"/>
                <w:kern w:val="0"/>
                <w:sz w:val="22"/>
                <w:lang w:eastAsia="en-US"/>
              </w:rPr>
              <w:t>7</w:t>
            </w:r>
          </w:p>
        </w:tc>
        <w:tc>
          <w:tcPr>
            <w:tcW w:w="2684" w:type="dxa"/>
            <w:vAlign w:val="center"/>
          </w:tcPr>
          <w:p>
            <w:pPr>
              <w:autoSpaceDE w:val="0"/>
              <w:autoSpaceDN w:val="0"/>
              <w:spacing w:line="240" w:lineRule="exact"/>
              <w:rPr>
                <w:rFonts w:eastAsia="宋体" w:cs="Times New Roman"/>
                <w:kern w:val="0"/>
                <w:sz w:val="22"/>
                <w:lang w:eastAsia="en-US"/>
              </w:rPr>
            </w:pPr>
            <w:r>
              <w:rPr>
                <w:rFonts w:eastAsia="宋体" w:cs="Times New Roman"/>
                <w:kern w:val="0"/>
                <w:sz w:val="22"/>
                <w:lang w:eastAsia="en-US"/>
              </w:rPr>
              <w:t>车行道上的井盖为非可调式防沉降球墨铸铁井盖的</w:t>
            </w:r>
          </w:p>
        </w:tc>
        <w:tc>
          <w:tcPr>
            <w:tcW w:w="4683" w:type="dxa"/>
            <w:vAlign w:val="center"/>
          </w:tcPr>
          <w:p>
            <w:pPr>
              <w:autoSpaceDE w:val="0"/>
              <w:autoSpaceDN w:val="0"/>
              <w:spacing w:line="240" w:lineRule="exact"/>
              <w:rPr>
                <w:rFonts w:eastAsia="宋体" w:cs="Times New Roman"/>
                <w:kern w:val="0"/>
                <w:sz w:val="22"/>
                <w:lang w:eastAsia="en-US"/>
              </w:rPr>
            </w:pPr>
            <w:r>
              <w:rPr>
                <w:rFonts w:eastAsia="宋体" w:cs="Times New Roman"/>
                <w:kern w:val="0"/>
                <w:sz w:val="22"/>
                <w:lang w:eastAsia="en-US"/>
              </w:rPr>
              <w:t>更换为可调式防沉降球墨铸铁井盖。</w:t>
            </w:r>
          </w:p>
        </w:tc>
        <w:tc>
          <w:tcPr>
            <w:tcW w:w="1031" w:type="dxa"/>
            <w:vAlign w:val="center"/>
          </w:tcPr>
          <w:p>
            <w:pPr>
              <w:autoSpaceDE w:val="0"/>
              <w:autoSpaceDN w:val="0"/>
              <w:spacing w:line="240" w:lineRule="exact"/>
              <w:jc w:val="center"/>
              <w:rPr>
                <w:rFonts w:eastAsia="宋体" w:cs="Times New Roman"/>
                <w:kern w:val="0"/>
                <w:sz w:val="2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atLeast"/>
        </w:trPr>
        <w:tc>
          <w:tcPr>
            <w:tcW w:w="411" w:type="dxa"/>
            <w:vAlign w:val="center"/>
          </w:tcPr>
          <w:p>
            <w:pPr>
              <w:autoSpaceDE w:val="0"/>
              <w:autoSpaceDN w:val="0"/>
              <w:spacing w:line="240" w:lineRule="exact"/>
              <w:jc w:val="center"/>
              <w:rPr>
                <w:rFonts w:eastAsia="宋体" w:cs="Times New Roman"/>
                <w:kern w:val="0"/>
                <w:sz w:val="22"/>
                <w:lang w:eastAsia="en-US"/>
              </w:rPr>
            </w:pPr>
            <w:r>
              <w:rPr>
                <w:rFonts w:eastAsia="宋体" w:cs="Times New Roman"/>
                <w:kern w:val="0"/>
                <w:sz w:val="22"/>
                <w:lang w:eastAsia="en-US"/>
              </w:rPr>
              <w:t>8</w:t>
            </w:r>
          </w:p>
        </w:tc>
        <w:tc>
          <w:tcPr>
            <w:tcW w:w="2684" w:type="dxa"/>
            <w:vAlign w:val="center"/>
          </w:tcPr>
          <w:p>
            <w:pPr>
              <w:autoSpaceDE w:val="0"/>
              <w:autoSpaceDN w:val="0"/>
              <w:spacing w:line="240" w:lineRule="exact"/>
              <w:rPr>
                <w:rFonts w:eastAsia="宋体" w:cs="Times New Roman"/>
                <w:kern w:val="0"/>
                <w:sz w:val="22"/>
                <w:lang w:eastAsia="en-US"/>
              </w:rPr>
            </w:pPr>
            <w:r>
              <w:rPr>
                <w:rFonts w:eastAsia="宋体" w:cs="Times New Roman"/>
                <w:kern w:val="0"/>
                <w:sz w:val="22"/>
                <w:lang w:eastAsia="en-US"/>
              </w:rPr>
              <w:t>检查井内未安装防坠网的</w:t>
            </w:r>
          </w:p>
        </w:tc>
        <w:tc>
          <w:tcPr>
            <w:tcW w:w="4683" w:type="dxa"/>
            <w:vAlign w:val="center"/>
          </w:tcPr>
          <w:p>
            <w:pPr>
              <w:autoSpaceDE w:val="0"/>
              <w:autoSpaceDN w:val="0"/>
              <w:spacing w:line="240" w:lineRule="exact"/>
              <w:rPr>
                <w:rFonts w:eastAsia="宋体" w:cs="Times New Roman"/>
                <w:kern w:val="0"/>
                <w:sz w:val="22"/>
                <w:lang w:eastAsia="en-US"/>
              </w:rPr>
            </w:pPr>
            <w:r>
              <w:rPr>
                <w:rFonts w:eastAsia="宋体" w:cs="Times New Roman"/>
                <w:kern w:val="0"/>
                <w:sz w:val="22"/>
                <w:lang w:eastAsia="en-US"/>
              </w:rPr>
              <w:t>加装防坠网。</w:t>
            </w:r>
          </w:p>
        </w:tc>
        <w:tc>
          <w:tcPr>
            <w:tcW w:w="1031" w:type="dxa"/>
            <w:vAlign w:val="center"/>
          </w:tcPr>
          <w:p>
            <w:pPr>
              <w:autoSpaceDE w:val="0"/>
              <w:autoSpaceDN w:val="0"/>
              <w:spacing w:line="240" w:lineRule="exact"/>
              <w:jc w:val="center"/>
              <w:rPr>
                <w:rFonts w:eastAsia="宋体" w:cs="Times New Roman"/>
                <w:kern w:val="0"/>
                <w:sz w:val="2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5" w:hRule="atLeast"/>
        </w:trPr>
        <w:tc>
          <w:tcPr>
            <w:tcW w:w="411" w:type="dxa"/>
            <w:vAlign w:val="center"/>
          </w:tcPr>
          <w:p>
            <w:pPr>
              <w:autoSpaceDE w:val="0"/>
              <w:autoSpaceDN w:val="0"/>
              <w:spacing w:line="240" w:lineRule="exact"/>
              <w:jc w:val="center"/>
              <w:rPr>
                <w:rFonts w:eastAsia="宋体" w:cs="Times New Roman"/>
                <w:kern w:val="0"/>
                <w:sz w:val="22"/>
                <w:lang w:eastAsia="en-US"/>
              </w:rPr>
            </w:pPr>
            <w:r>
              <w:rPr>
                <w:rFonts w:eastAsia="宋体" w:cs="Times New Roman"/>
                <w:kern w:val="0"/>
                <w:sz w:val="22"/>
                <w:lang w:eastAsia="en-US"/>
              </w:rPr>
              <w:t>9</w:t>
            </w:r>
          </w:p>
        </w:tc>
        <w:tc>
          <w:tcPr>
            <w:tcW w:w="2684" w:type="dxa"/>
            <w:vAlign w:val="center"/>
          </w:tcPr>
          <w:p>
            <w:pPr>
              <w:autoSpaceDE w:val="0"/>
              <w:autoSpaceDN w:val="0"/>
              <w:spacing w:line="240" w:lineRule="exact"/>
              <w:rPr>
                <w:rFonts w:eastAsia="宋体" w:cs="Times New Roman"/>
                <w:kern w:val="0"/>
                <w:sz w:val="22"/>
                <w:lang w:eastAsia="en-US"/>
              </w:rPr>
            </w:pPr>
            <w:r>
              <w:rPr>
                <w:rFonts w:eastAsia="宋体" w:cs="Times New Roman"/>
                <w:kern w:val="0"/>
                <w:sz w:val="22"/>
                <w:lang w:eastAsia="en-US"/>
              </w:rPr>
              <w:t>检查井盖上未标识产权单位和井类型的</w:t>
            </w:r>
          </w:p>
        </w:tc>
        <w:tc>
          <w:tcPr>
            <w:tcW w:w="4683" w:type="dxa"/>
            <w:vAlign w:val="center"/>
          </w:tcPr>
          <w:p>
            <w:pPr>
              <w:autoSpaceDE w:val="0"/>
              <w:autoSpaceDN w:val="0"/>
              <w:spacing w:line="240" w:lineRule="exact"/>
              <w:rPr>
                <w:rFonts w:eastAsia="宋体" w:cs="Times New Roman"/>
                <w:kern w:val="0"/>
                <w:sz w:val="22"/>
                <w:lang w:eastAsia="en-US"/>
              </w:rPr>
            </w:pPr>
            <w:r>
              <w:rPr>
                <w:rFonts w:eastAsia="宋体" w:cs="Times New Roman"/>
                <w:kern w:val="0"/>
                <w:sz w:val="22"/>
                <w:lang w:eastAsia="en-US"/>
              </w:rPr>
              <w:t>更换标识有产权单位和检查井类型的井盖。</w:t>
            </w:r>
          </w:p>
        </w:tc>
        <w:tc>
          <w:tcPr>
            <w:tcW w:w="1031" w:type="dxa"/>
            <w:vAlign w:val="center"/>
          </w:tcPr>
          <w:p>
            <w:pPr>
              <w:autoSpaceDE w:val="0"/>
              <w:autoSpaceDN w:val="0"/>
              <w:spacing w:line="240" w:lineRule="exact"/>
              <w:jc w:val="center"/>
              <w:rPr>
                <w:rFonts w:eastAsia="宋体" w:cs="Times New Roman"/>
                <w:kern w:val="0"/>
                <w:sz w:val="22"/>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64" w:hRule="atLeast"/>
        </w:trPr>
        <w:tc>
          <w:tcPr>
            <w:tcW w:w="411" w:type="dxa"/>
            <w:vAlign w:val="center"/>
          </w:tcPr>
          <w:p>
            <w:pPr>
              <w:autoSpaceDE w:val="0"/>
              <w:autoSpaceDN w:val="0"/>
              <w:spacing w:line="240" w:lineRule="exact"/>
              <w:jc w:val="center"/>
              <w:rPr>
                <w:rFonts w:eastAsia="宋体" w:cs="Times New Roman"/>
                <w:kern w:val="0"/>
                <w:sz w:val="22"/>
                <w:lang w:eastAsia="en-US"/>
              </w:rPr>
            </w:pPr>
            <w:r>
              <w:rPr>
                <w:rFonts w:eastAsia="宋体" w:cs="Times New Roman"/>
                <w:kern w:val="0"/>
                <w:sz w:val="22"/>
                <w:lang w:eastAsia="en-US"/>
              </w:rPr>
              <w:t>10</w:t>
            </w:r>
          </w:p>
        </w:tc>
        <w:tc>
          <w:tcPr>
            <w:tcW w:w="2684" w:type="dxa"/>
            <w:vAlign w:val="center"/>
          </w:tcPr>
          <w:p>
            <w:pPr>
              <w:autoSpaceDE w:val="0"/>
              <w:autoSpaceDN w:val="0"/>
              <w:spacing w:line="240" w:lineRule="exact"/>
              <w:rPr>
                <w:rFonts w:eastAsia="宋体" w:cs="Times New Roman"/>
                <w:kern w:val="0"/>
                <w:sz w:val="22"/>
                <w:lang w:eastAsia="en-US"/>
              </w:rPr>
            </w:pPr>
            <w:r>
              <w:rPr>
                <w:rFonts w:eastAsia="宋体" w:cs="Times New Roman"/>
                <w:kern w:val="0"/>
                <w:sz w:val="22"/>
                <w:lang w:eastAsia="en-US"/>
              </w:rPr>
              <w:t>人行道的盲道等无障碍设施范围内设置有井盖设施的</w:t>
            </w:r>
          </w:p>
        </w:tc>
        <w:tc>
          <w:tcPr>
            <w:tcW w:w="4683" w:type="dxa"/>
            <w:vAlign w:val="center"/>
          </w:tcPr>
          <w:p>
            <w:pPr>
              <w:autoSpaceDE w:val="0"/>
              <w:autoSpaceDN w:val="0"/>
              <w:spacing w:line="240" w:lineRule="exact"/>
              <w:rPr>
                <w:rFonts w:eastAsia="宋体" w:cs="Times New Roman"/>
                <w:kern w:val="0"/>
                <w:sz w:val="22"/>
                <w:lang w:eastAsia="en-US"/>
              </w:rPr>
            </w:pPr>
            <w:r>
              <w:rPr>
                <w:rFonts w:eastAsia="宋体" w:cs="Times New Roman"/>
                <w:kern w:val="0"/>
                <w:sz w:val="22"/>
                <w:lang w:eastAsia="en-US"/>
              </w:rPr>
              <w:t>更换为隐形井盖覆盖盲道板等无障碍设施。</w:t>
            </w:r>
          </w:p>
        </w:tc>
        <w:tc>
          <w:tcPr>
            <w:tcW w:w="1031" w:type="dxa"/>
            <w:vAlign w:val="center"/>
          </w:tcPr>
          <w:p>
            <w:pPr>
              <w:autoSpaceDE w:val="0"/>
              <w:autoSpaceDN w:val="0"/>
              <w:spacing w:line="240" w:lineRule="exact"/>
              <w:jc w:val="center"/>
              <w:rPr>
                <w:rFonts w:eastAsia="宋体" w:cs="Times New Roman"/>
                <w:kern w:val="0"/>
                <w:sz w:val="22"/>
                <w:lang w:eastAsia="en-US"/>
              </w:rPr>
            </w:pPr>
          </w:p>
        </w:tc>
      </w:tr>
    </w:tbl>
    <w:p>
      <w:pPr>
        <w:widowControl/>
        <w:spacing w:line="574" w:lineRule="exact"/>
        <w:ind w:firstLine="480" w:firstLineChars="200"/>
        <w:jc w:val="left"/>
        <w:rPr>
          <w:rFonts w:eastAsia="仿宋" w:cs="Times New Roman"/>
          <w:sz w:val="24"/>
        </w:rPr>
      </w:pPr>
      <w:r>
        <w:rPr>
          <w:rFonts w:hint="eastAsia" w:eastAsia="仿宋" w:cs="Times New Roman"/>
          <w:sz w:val="24"/>
        </w:rPr>
        <w:t>此表由河南省推进城镇基础设施建设管理工作联席会议办公室制定。</w:t>
      </w:r>
    </w:p>
    <w:p>
      <w:pPr>
        <w:widowControl/>
        <w:jc w:val="left"/>
        <w:rPr>
          <w:rFonts w:hint="eastAsia" w:ascii="黑体" w:hAnsi="黑体" w:eastAsia="黑体" w:cs="Times New Roman"/>
          <w:sz w:val="32"/>
          <w:szCs w:val="32"/>
          <w:lang w:eastAsia="zh-CN"/>
        </w:rPr>
      </w:pPr>
      <w:r>
        <w:rPr>
          <w:rFonts w:eastAsia="仿宋" w:cs="Times New Roman"/>
          <w:sz w:val="24"/>
        </w:rPr>
        <w:br w:type="page"/>
      </w:r>
      <w:r>
        <w:rPr>
          <w:rFonts w:ascii="黑体" w:hAnsi="黑体" w:eastAsia="黑体" w:cs="Times New Roman"/>
          <w:sz w:val="32"/>
          <w:szCs w:val="32"/>
        </w:rPr>
        <w:t>附件</w:t>
      </w:r>
      <w:r>
        <w:rPr>
          <w:rFonts w:hint="default" w:ascii="Times New Roman" w:hAnsi="Times New Roman" w:eastAsia="黑体" w:cs="Times New Roman"/>
          <w:sz w:val="32"/>
          <w:szCs w:val="32"/>
          <w:lang w:val="en-US" w:eastAsia="zh-CN"/>
        </w:rPr>
        <w:t>3</w:t>
      </w:r>
    </w:p>
    <w:p>
      <w:pPr>
        <w:spacing w:line="520" w:lineRule="exact"/>
        <w:ind w:firstLine="913"/>
        <w:jc w:val="center"/>
        <w:rPr>
          <w:rFonts w:eastAsia="方正小标宋简体" w:cs="Times New Roman"/>
          <w:sz w:val="44"/>
          <w:szCs w:val="32"/>
        </w:rPr>
      </w:pPr>
      <w:r>
        <w:rPr>
          <w:rFonts w:hint="eastAsia" w:ascii="黑体" w:hAnsi="黑体" w:eastAsia="黑体" w:cs="黑体"/>
          <w:sz w:val="44"/>
          <w:szCs w:val="44"/>
          <w:u w:val="single"/>
        </w:rPr>
        <w:t xml:space="preserve">      </w:t>
      </w:r>
      <w:r>
        <w:rPr>
          <w:rFonts w:hint="eastAsia" w:ascii="黑体" w:hAnsi="黑体" w:eastAsia="黑体" w:cs="黑体"/>
          <w:sz w:val="44"/>
          <w:szCs w:val="32"/>
        </w:rPr>
        <w:t>路</w:t>
      </w:r>
      <w:r>
        <w:rPr>
          <w:rFonts w:hint="eastAsia" w:ascii="黑体" w:hAnsi="黑体" w:eastAsia="黑体" w:cs="黑体"/>
          <w:sz w:val="44"/>
          <w:szCs w:val="32"/>
          <w:lang w:eastAsia="zh-CN"/>
        </w:rPr>
        <w:t>（</w:t>
      </w:r>
      <w:r>
        <w:rPr>
          <w:rFonts w:hint="eastAsia" w:ascii="黑体" w:hAnsi="黑体" w:eastAsia="黑体" w:cs="黑体"/>
          <w:sz w:val="44"/>
          <w:szCs w:val="32"/>
        </w:rPr>
        <w:t>起点—终点）窨井盖普查基础数据统计表</w:t>
      </w:r>
    </w:p>
    <w:p>
      <w:pPr>
        <w:spacing w:line="520" w:lineRule="exact"/>
        <w:jc w:val="left"/>
        <w:rPr>
          <w:rFonts w:eastAsia="仿宋" w:cs="Times New Roman"/>
          <w:sz w:val="28"/>
          <w:szCs w:val="24"/>
        </w:rPr>
      </w:pPr>
      <w:r>
        <w:rPr>
          <w:rFonts w:eastAsia="仿宋" w:cs="Times New Roman"/>
          <w:sz w:val="28"/>
          <w:szCs w:val="24"/>
        </w:rPr>
        <w:t>填表单位：</w:t>
      </w:r>
      <w:r>
        <w:rPr>
          <w:rFonts w:hint="eastAsia" w:eastAsia="仿宋" w:cs="Times New Roman"/>
          <w:sz w:val="28"/>
          <w:szCs w:val="24"/>
          <w:lang w:eastAsia="zh-CN"/>
        </w:rPr>
        <w:t>（</w:t>
      </w:r>
      <w:r>
        <w:rPr>
          <w:rFonts w:hint="eastAsia" w:eastAsia="仿宋" w:cs="Times New Roman"/>
          <w:sz w:val="28"/>
          <w:szCs w:val="24"/>
        </w:rPr>
        <w:t>盖章）</w:t>
      </w:r>
      <w:r>
        <w:rPr>
          <w:rFonts w:eastAsia="仿宋" w:cs="Times New Roman"/>
          <w:sz w:val="28"/>
          <w:szCs w:val="24"/>
        </w:rPr>
        <w:t xml:space="preserve">                      日期：</w:t>
      </w:r>
      <w:r>
        <w:rPr>
          <w:rFonts w:hint="eastAsia" w:eastAsia="仿宋" w:cs="Times New Roman"/>
          <w:sz w:val="28"/>
          <w:szCs w:val="24"/>
        </w:rPr>
        <w:t xml:space="preserve"> </w:t>
      </w:r>
      <w:r>
        <w:rPr>
          <w:rFonts w:eastAsia="仿宋" w:cs="Times New Roman"/>
          <w:sz w:val="28"/>
          <w:szCs w:val="24"/>
        </w:rPr>
        <w:t xml:space="preserve">   </w:t>
      </w:r>
      <w:r>
        <w:rPr>
          <w:rFonts w:hint="eastAsia" w:eastAsia="仿宋" w:cs="Times New Roman"/>
          <w:sz w:val="28"/>
          <w:szCs w:val="24"/>
        </w:rPr>
        <w:t xml:space="preserve">年 </w:t>
      </w:r>
      <w:r>
        <w:rPr>
          <w:rFonts w:eastAsia="仿宋" w:cs="Times New Roman"/>
          <w:sz w:val="28"/>
          <w:szCs w:val="24"/>
        </w:rPr>
        <w:t xml:space="preserve">  </w:t>
      </w:r>
      <w:r>
        <w:rPr>
          <w:rFonts w:hint="eastAsia" w:eastAsia="仿宋" w:cs="Times New Roman"/>
          <w:sz w:val="28"/>
          <w:szCs w:val="24"/>
        </w:rPr>
        <w:t xml:space="preserve">月 </w:t>
      </w:r>
      <w:r>
        <w:rPr>
          <w:rFonts w:eastAsia="仿宋" w:cs="Times New Roman"/>
          <w:sz w:val="28"/>
          <w:szCs w:val="24"/>
        </w:rPr>
        <w:t xml:space="preserve">  </w:t>
      </w:r>
      <w:r>
        <w:rPr>
          <w:rFonts w:hint="eastAsia" w:eastAsia="仿宋" w:cs="Times New Roman"/>
          <w:sz w:val="28"/>
          <w:szCs w:val="24"/>
        </w:rPr>
        <w:t>日</w:t>
      </w:r>
    </w:p>
    <w:tbl>
      <w:tblPr>
        <w:tblStyle w:val="8"/>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985"/>
        <w:gridCol w:w="850"/>
        <w:gridCol w:w="1134"/>
        <w:gridCol w:w="1276"/>
        <w:gridCol w:w="1276"/>
        <w:gridCol w:w="170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562" w:type="dxa"/>
            <w:vAlign w:val="center"/>
          </w:tcPr>
          <w:p>
            <w:pPr>
              <w:spacing w:line="240" w:lineRule="exact"/>
              <w:jc w:val="center"/>
              <w:rPr>
                <w:rFonts w:eastAsia="宋体" w:cs="Times New Roman"/>
                <w:b/>
              </w:rPr>
            </w:pPr>
            <w:r>
              <w:rPr>
                <w:rFonts w:eastAsia="宋体" w:cs="Times New Roman"/>
                <w:b/>
              </w:rPr>
              <w:t>序号</w:t>
            </w:r>
          </w:p>
        </w:tc>
        <w:tc>
          <w:tcPr>
            <w:tcW w:w="1985" w:type="dxa"/>
            <w:vAlign w:val="center"/>
          </w:tcPr>
          <w:p>
            <w:pPr>
              <w:spacing w:line="240" w:lineRule="exact"/>
              <w:jc w:val="center"/>
              <w:rPr>
                <w:rFonts w:eastAsia="宋体" w:cs="Times New Roman"/>
                <w:b/>
              </w:rPr>
            </w:pPr>
            <w:r>
              <w:rPr>
                <w:rFonts w:eastAsia="宋体" w:cs="Times New Roman"/>
                <w:b/>
              </w:rPr>
              <w:t>窨井类别</w:t>
            </w:r>
          </w:p>
        </w:tc>
        <w:tc>
          <w:tcPr>
            <w:tcW w:w="850" w:type="dxa"/>
            <w:vAlign w:val="center"/>
          </w:tcPr>
          <w:p>
            <w:pPr>
              <w:spacing w:line="240" w:lineRule="exact"/>
              <w:jc w:val="center"/>
              <w:rPr>
                <w:rFonts w:eastAsia="宋体" w:cs="Times New Roman"/>
                <w:b/>
              </w:rPr>
            </w:pPr>
            <w:r>
              <w:rPr>
                <w:rFonts w:eastAsia="宋体" w:cs="Times New Roman"/>
                <w:b/>
              </w:rPr>
              <w:t>位置</w:t>
            </w:r>
          </w:p>
        </w:tc>
        <w:tc>
          <w:tcPr>
            <w:tcW w:w="1134" w:type="dxa"/>
            <w:vAlign w:val="center"/>
          </w:tcPr>
          <w:p>
            <w:pPr>
              <w:spacing w:line="240" w:lineRule="exact"/>
              <w:jc w:val="center"/>
              <w:rPr>
                <w:rFonts w:eastAsia="宋体" w:cs="Times New Roman"/>
                <w:b/>
              </w:rPr>
            </w:pPr>
            <w:r>
              <w:rPr>
                <w:rFonts w:eastAsia="宋体" w:cs="Times New Roman"/>
                <w:b/>
              </w:rPr>
              <w:t>井盖材质</w:t>
            </w:r>
          </w:p>
        </w:tc>
        <w:tc>
          <w:tcPr>
            <w:tcW w:w="1276" w:type="dxa"/>
            <w:vAlign w:val="center"/>
          </w:tcPr>
          <w:p>
            <w:pPr>
              <w:spacing w:line="240" w:lineRule="exact"/>
              <w:jc w:val="center"/>
              <w:rPr>
                <w:rFonts w:eastAsia="宋体" w:cs="Times New Roman"/>
                <w:b/>
              </w:rPr>
            </w:pPr>
            <w:r>
              <w:rPr>
                <w:rFonts w:eastAsia="宋体" w:cs="Times New Roman"/>
                <w:b/>
              </w:rPr>
              <w:t>数量</w:t>
            </w:r>
            <w:r>
              <w:rPr>
                <w:rFonts w:hint="eastAsia" w:cs="Times New Roman"/>
                <w:b/>
                <w:lang w:eastAsia="zh-CN"/>
              </w:rPr>
              <w:t>（</w:t>
            </w:r>
            <w:r>
              <w:rPr>
                <w:rFonts w:eastAsia="宋体" w:cs="Times New Roman"/>
                <w:b/>
              </w:rPr>
              <w:t>座）</w:t>
            </w:r>
          </w:p>
        </w:tc>
        <w:tc>
          <w:tcPr>
            <w:tcW w:w="1276" w:type="dxa"/>
            <w:vAlign w:val="center"/>
          </w:tcPr>
          <w:p>
            <w:pPr>
              <w:spacing w:line="240" w:lineRule="exact"/>
              <w:jc w:val="center"/>
              <w:rPr>
                <w:rFonts w:eastAsia="宋体" w:cs="Times New Roman"/>
                <w:b/>
              </w:rPr>
            </w:pPr>
            <w:r>
              <w:rPr>
                <w:rFonts w:eastAsia="宋体" w:cs="Times New Roman"/>
                <w:b/>
              </w:rPr>
              <w:t>形状规格</w:t>
            </w:r>
          </w:p>
        </w:tc>
        <w:tc>
          <w:tcPr>
            <w:tcW w:w="1701" w:type="dxa"/>
            <w:vAlign w:val="center"/>
          </w:tcPr>
          <w:p>
            <w:pPr>
              <w:spacing w:line="240" w:lineRule="exact"/>
              <w:jc w:val="center"/>
              <w:rPr>
                <w:rFonts w:eastAsia="宋体" w:cs="Times New Roman"/>
                <w:b/>
              </w:rPr>
            </w:pPr>
            <w:r>
              <w:rPr>
                <w:rFonts w:eastAsia="宋体" w:cs="Times New Roman"/>
                <w:b/>
              </w:rPr>
              <w:t>病害窨井盖数量</w:t>
            </w:r>
            <w:r>
              <w:rPr>
                <w:rFonts w:hint="eastAsia" w:cs="Times New Roman"/>
                <w:b/>
                <w:lang w:eastAsia="zh-CN"/>
              </w:rPr>
              <w:t>（</w:t>
            </w:r>
            <w:r>
              <w:rPr>
                <w:rFonts w:eastAsia="宋体" w:cs="Times New Roman"/>
                <w:b/>
              </w:rPr>
              <w:t>座）</w:t>
            </w:r>
          </w:p>
        </w:tc>
        <w:tc>
          <w:tcPr>
            <w:tcW w:w="709" w:type="dxa"/>
            <w:vAlign w:val="center"/>
          </w:tcPr>
          <w:p>
            <w:pPr>
              <w:spacing w:line="240" w:lineRule="exact"/>
              <w:jc w:val="center"/>
              <w:rPr>
                <w:rFonts w:eastAsia="宋体" w:cs="Times New Roman"/>
                <w:b/>
              </w:rPr>
            </w:pPr>
            <w:r>
              <w:rPr>
                <w:rFonts w:eastAsia="宋体" w:cs="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562" w:type="dxa"/>
            <w:vAlign w:val="center"/>
          </w:tcPr>
          <w:p>
            <w:pPr>
              <w:spacing w:line="240" w:lineRule="exact"/>
              <w:jc w:val="center"/>
              <w:rPr>
                <w:rFonts w:eastAsia="宋体" w:cs="Times New Roman"/>
              </w:rPr>
            </w:pPr>
            <w:r>
              <w:rPr>
                <w:rFonts w:eastAsia="宋体" w:cs="Times New Roman"/>
              </w:rPr>
              <w:t>1</w:t>
            </w:r>
          </w:p>
        </w:tc>
        <w:tc>
          <w:tcPr>
            <w:tcW w:w="1985" w:type="dxa"/>
            <w:vAlign w:val="center"/>
          </w:tcPr>
          <w:p>
            <w:pPr>
              <w:spacing w:line="240" w:lineRule="exact"/>
              <w:jc w:val="center"/>
              <w:rPr>
                <w:rFonts w:eastAsia="宋体" w:cs="Times New Roman"/>
              </w:rPr>
            </w:pPr>
            <w:r>
              <w:rPr>
                <w:rFonts w:eastAsia="宋体" w:cs="Times New Roman"/>
              </w:rPr>
              <w:t>污水检查井</w:t>
            </w:r>
          </w:p>
        </w:tc>
        <w:tc>
          <w:tcPr>
            <w:tcW w:w="850" w:type="dxa"/>
            <w:vAlign w:val="center"/>
          </w:tcPr>
          <w:p>
            <w:pPr>
              <w:spacing w:line="240" w:lineRule="exact"/>
              <w:jc w:val="center"/>
              <w:rPr>
                <w:rFonts w:eastAsia="宋体" w:cs="Times New Roman"/>
              </w:rPr>
            </w:pPr>
            <w:r>
              <w:rPr>
                <w:rFonts w:eastAsia="宋体" w:cs="Times New Roman"/>
              </w:rPr>
              <w:t>快车道</w:t>
            </w:r>
          </w:p>
        </w:tc>
        <w:tc>
          <w:tcPr>
            <w:tcW w:w="1134" w:type="dxa"/>
            <w:vAlign w:val="center"/>
          </w:tcPr>
          <w:p>
            <w:pPr>
              <w:spacing w:line="240" w:lineRule="exact"/>
              <w:jc w:val="center"/>
              <w:rPr>
                <w:rFonts w:eastAsia="宋体" w:cs="Times New Roman"/>
              </w:rPr>
            </w:pPr>
            <w:r>
              <w:rPr>
                <w:rFonts w:eastAsia="宋体" w:cs="Times New Roman"/>
              </w:rPr>
              <w:t>铸铁</w:t>
            </w:r>
          </w:p>
        </w:tc>
        <w:tc>
          <w:tcPr>
            <w:tcW w:w="1276" w:type="dxa"/>
            <w:vAlign w:val="center"/>
          </w:tcPr>
          <w:p>
            <w:pPr>
              <w:spacing w:line="240" w:lineRule="exact"/>
              <w:jc w:val="center"/>
              <w:rPr>
                <w:rFonts w:eastAsia="宋体" w:cs="Times New Roman"/>
              </w:rPr>
            </w:pPr>
          </w:p>
        </w:tc>
        <w:tc>
          <w:tcPr>
            <w:tcW w:w="1276" w:type="dxa"/>
            <w:vAlign w:val="center"/>
          </w:tcPr>
          <w:p>
            <w:pPr>
              <w:spacing w:line="240" w:lineRule="exact"/>
              <w:jc w:val="center"/>
              <w:rPr>
                <w:rFonts w:eastAsia="宋体" w:cs="Times New Roman"/>
              </w:rPr>
            </w:pPr>
            <w:r>
              <w:rPr>
                <w:rFonts w:eastAsia="宋体" w:cs="Times New Roman"/>
              </w:rPr>
              <w:t>圆形DN800</w:t>
            </w:r>
          </w:p>
        </w:tc>
        <w:tc>
          <w:tcPr>
            <w:tcW w:w="1701" w:type="dxa"/>
            <w:vAlign w:val="center"/>
          </w:tcPr>
          <w:p>
            <w:pPr>
              <w:spacing w:line="240" w:lineRule="exact"/>
              <w:jc w:val="center"/>
              <w:rPr>
                <w:rFonts w:eastAsia="宋体" w:cs="Times New Roman"/>
              </w:rPr>
            </w:pPr>
          </w:p>
        </w:tc>
        <w:tc>
          <w:tcPr>
            <w:tcW w:w="709" w:type="dxa"/>
            <w:vAlign w:val="center"/>
          </w:tcPr>
          <w:p>
            <w:pPr>
              <w:spacing w:line="240" w:lineRule="exact"/>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62" w:type="dxa"/>
            <w:vAlign w:val="center"/>
          </w:tcPr>
          <w:p>
            <w:pPr>
              <w:spacing w:line="240" w:lineRule="exact"/>
              <w:jc w:val="center"/>
              <w:rPr>
                <w:rFonts w:eastAsia="宋体" w:cs="Times New Roman"/>
              </w:rPr>
            </w:pPr>
            <w:r>
              <w:rPr>
                <w:rFonts w:eastAsia="宋体" w:cs="Times New Roman"/>
              </w:rPr>
              <w:t>2</w:t>
            </w:r>
          </w:p>
        </w:tc>
        <w:tc>
          <w:tcPr>
            <w:tcW w:w="1985" w:type="dxa"/>
            <w:vAlign w:val="center"/>
          </w:tcPr>
          <w:p>
            <w:pPr>
              <w:spacing w:line="240" w:lineRule="exact"/>
              <w:jc w:val="center"/>
              <w:rPr>
                <w:rFonts w:eastAsia="宋体" w:cs="Times New Roman"/>
              </w:rPr>
            </w:pPr>
            <w:r>
              <w:rPr>
                <w:rFonts w:eastAsia="宋体" w:cs="Times New Roman"/>
              </w:rPr>
              <w:t>雨水检查井</w:t>
            </w:r>
          </w:p>
        </w:tc>
        <w:tc>
          <w:tcPr>
            <w:tcW w:w="850" w:type="dxa"/>
            <w:vAlign w:val="center"/>
          </w:tcPr>
          <w:p>
            <w:pPr>
              <w:spacing w:line="240" w:lineRule="exact"/>
              <w:jc w:val="center"/>
              <w:rPr>
                <w:rFonts w:eastAsia="宋体" w:cs="Times New Roman"/>
              </w:rPr>
            </w:pPr>
            <w:r>
              <w:rPr>
                <w:rFonts w:eastAsia="宋体" w:cs="Times New Roman"/>
              </w:rPr>
              <w:t>慢车道</w:t>
            </w:r>
          </w:p>
        </w:tc>
        <w:tc>
          <w:tcPr>
            <w:tcW w:w="1134" w:type="dxa"/>
            <w:vAlign w:val="center"/>
          </w:tcPr>
          <w:p>
            <w:pPr>
              <w:spacing w:line="240" w:lineRule="exact"/>
              <w:jc w:val="center"/>
              <w:rPr>
                <w:rFonts w:eastAsia="宋体" w:cs="Times New Roman"/>
              </w:rPr>
            </w:pPr>
            <w:r>
              <w:rPr>
                <w:rFonts w:eastAsia="宋体" w:cs="Times New Roman"/>
              </w:rPr>
              <w:t>复合</w:t>
            </w:r>
          </w:p>
        </w:tc>
        <w:tc>
          <w:tcPr>
            <w:tcW w:w="1276" w:type="dxa"/>
            <w:vAlign w:val="center"/>
          </w:tcPr>
          <w:p>
            <w:pPr>
              <w:spacing w:line="240" w:lineRule="exact"/>
              <w:jc w:val="center"/>
              <w:rPr>
                <w:rFonts w:eastAsia="宋体" w:cs="Times New Roman"/>
              </w:rPr>
            </w:pPr>
          </w:p>
        </w:tc>
        <w:tc>
          <w:tcPr>
            <w:tcW w:w="1276" w:type="dxa"/>
            <w:vAlign w:val="center"/>
          </w:tcPr>
          <w:p>
            <w:pPr>
              <w:spacing w:line="240" w:lineRule="exact"/>
              <w:jc w:val="center"/>
              <w:rPr>
                <w:rFonts w:eastAsia="宋体" w:cs="Times New Roman"/>
              </w:rPr>
            </w:pPr>
            <w:r>
              <w:rPr>
                <w:rFonts w:eastAsia="宋体" w:cs="Times New Roman"/>
              </w:rPr>
              <w:t>方形12 *1.2</w:t>
            </w:r>
          </w:p>
        </w:tc>
        <w:tc>
          <w:tcPr>
            <w:tcW w:w="1701" w:type="dxa"/>
            <w:vAlign w:val="center"/>
          </w:tcPr>
          <w:p>
            <w:pPr>
              <w:spacing w:line="240" w:lineRule="exact"/>
              <w:jc w:val="center"/>
              <w:rPr>
                <w:rFonts w:eastAsia="宋体" w:cs="Times New Roman"/>
              </w:rPr>
            </w:pPr>
          </w:p>
        </w:tc>
        <w:tc>
          <w:tcPr>
            <w:tcW w:w="709" w:type="dxa"/>
            <w:vAlign w:val="center"/>
          </w:tcPr>
          <w:p>
            <w:pPr>
              <w:spacing w:line="240" w:lineRule="exact"/>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562" w:type="dxa"/>
            <w:vAlign w:val="center"/>
          </w:tcPr>
          <w:p>
            <w:pPr>
              <w:spacing w:line="240" w:lineRule="exact"/>
              <w:jc w:val="center"/>
              <w:rPr>
                <w:rFonts w:eastAsia="宋体" w:cs="Times New Roman"/>
              </w:rPr>
            </w:pPr>
            <w:r>
              <w:rPr>
                <w:rFonts w:eastAsia="宋体" w:cs="Times New Roman"/>
              </w:rPr>
              <w:t>3</w:t>
            </w:r>
          </w:p>
        </w:tc>
        <w:tc>
          <w:tcPr>
            <w:tcW w:w="1985" w:type="dxa"/>
            <w:vAlign w:val="center"/>
          </w:tcPr>
          <w:p>
            <w:pPr>
              <w:spacing w:line="240" w:lineRule="exact"/>
              <w:jc w:val="center"/>
              <w:rPr>
                <w:rFonts w:eastAsia="宋体" w:cs="Times New Roman"/>
              </w:rPr>
            </w:pPr>
            <w:r>
              <w:rPr>
                <w:rFonts w:eastAsia="宋体" w:cs="Times New Roman"/>
              </w:rPr>
              <w:t>雨污合流检查井</w:t>
            </w:r>
          </w:p>
        </w:tc>
        <w:tc>
          <w:tcPr>
            <w:tcW w:w="850" w:type="dxa"/>
            <w:vAlign w:val="center"/>
          </w:tcPr>
          <w:p>
            <w:pPr>
              <w:spacing w:line="240" w:lineRule="exact"/>
              <w:jc w:val="center"/>
              <w:rPr>
                <w:rFonts w:eastAsia="宋体" w:cs="Times New Roman"/>
              </w:rPr>
            </w:pPr>
            <w:r>
              <w:rPr>
                <w:rFonts w:eastAsia="宋体" w:cs="Times New Roman"/>
              </w:rPr>
              <w:t>人行道</w:t>
            </w:r>
          </w:p>
        </w:tc>
        <w:tc>
          <w:tcPr>
            <w:tcW w:w="1134" w:type="dxa"/>
            <w:vAlign w:val="center"/>
          </w:tcPr>
          <w:p>
            <w:pPr>
              <w:spacing w:line="240" w:lineRule="exact"/>
              <w:jc w:val="center"/>
              <w:rPr>
                <w:rFonts w:eastAsia="宋体" w:cs="Times New Roman"/>
              </w:rPr>
            </w:pPr>
          </w:p>
        </w:tc>
        <w:tc>
          <w:tcPr>
            <w:tcW w:w="1276" w:type="dxa"/>
            <w:vAlign w:val="center"/>
          </w:tcPr>
          <w:p>
            <w:pPr>
              <w:spacing w:line="240" w:lineRule="exact"/>
              <w:jc w:val="center"/>
              <w:rPr>
                <w:rFonts w:eastAsia="宋体" w:cs="Times New Roman"/>
              </w:rPr>
            </w:pPr>
          </w:p>
        </w:tc>
        <w:tc>
          <w:tcPr>
            <w:tcW w:w="1276" w:type="dxa"/>
            <w:vAlign w:val="center"/>
          </w:tcPr>
          <w:p>
            <w:pPr>
              <w:spacing w:line="240" w:lineRule="exact"/>
              <w:jc w:val="center"/>
              <w:rPr>
                <w:rFonts w:eastAsia="宋体" w:cs="Times New Roman"/>
              </w:rPr>
            </w:pPr>
          </w:p>
        </w:tc>
        <w:tc>
          <w:tcPr>
            <w:tcW w:w="1701" w:type="dxa"/>
            <w:vAlign w:val="center"/>
          </w:tcPr>
          <w:p>
            <w:pPr>
              <w:spacing w:line="240" w:lineRule="exact"/>
              <w:jc w:val="center"/>
              <w:rPr>
                <w:rFonts w:eastAsia="宋体" w:cs="Times New Roman"/>
              </w:rPr>
            </w:pPr>
          </w:p>
        </w:tc>
        <w:tc>
          <w:tcPr>
            <w:tcW w:w="709" w:type="dxa"/>
            <w:vAlign w:val="center"/>
          </w:tcPr>
          <w:p>
            <w:pPr>
              <w:spacing w:line="240" w:lineRule="exact"/>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562" w:type="dxa"/>
            <w:vAlign w:val="center"/>
          </w:tcPr>
          <w:p>
            <w:pPr>
              <w:spacing w:line="240" w:lineRule="exact"/>
              <w:jc w:val="center"/>
              <w:rPr>
                <w:rFonts w:eastAsia="宋体" w:cs="Times New Roman"/>
              </w:rPr>
            </w:pPr>
            <w:r>
              <w:rPr>
                <w:rFonts w:eastAsia="宋体" w:cs="Times New Roman"/>
              </w:rPr>
              <w:t>4</w:t>
            </w:r>
          </w:p>
        </w:tc>
        <w:tc>
          <w:tcPr>
            <w:tcW w:w="1985" w:type="dxa"/>
            <w:vAlign w:val="center"/>
          </w:tcPr>
          <w:p>
            <w:pPr>
              <w:spacing w:line="240" w:lineRule="exact"/>
              <w:jc w:val="center"/>
              <w:rPr>
                <w:rFonts w:eastAsia="宋体" w:cs="Times New Roman"/>
              </w:rPr>
            </w:pPr>
            <w:r>
              <w:rPr>
                <w:rFonts w:eastAsia="宋体" w:cs="Times New Roman"/>
              </w:rPr>
              <w:t>雨水进水井</w:t>
            </w:r>
          </w:p>
        </w:tc>
        <w:tc>
          <w:tcPr>
            <w:tcW w:w="850" w:type="dxa"/>
            <w:vAlign w:val="center"/>
          </w:tcPr>
          <w:p>
            <w:pPr>
              <w:spacing w:line="240" w:lineRule="exact"/>
              <w:jc w:val="center"/>
              <w:rPr>
                <w:rFonts w:eastAsia="宋体" w:cs="Times New Roman"/>
              </w:rPr>
            </w:pPr>
            <w:r>
              <w:rPr>
                <w:rFonts w:eastAsia="宋体" w:cs="Times New Roman"/>
              </w:rPr>
              <w:t>绿化带</w:t>
            </w:r>
          </w:p>
        </w:tc>
        <w:tc>
          <w:tcPr>
            <w:tcW w:w="1134" w:type="dxa"/>
            <w:vAlign w:val="center"/>
          </w:tcPr>
          <w:p>
            <w:pPr>
              <w:spacing w:line="240" w:lineRule="exact"/>
              <w:jc w:val="center"/>
              <w:rPr>
                <w:rFonts w:eastAsia="宋体" w:cs="Times New Roman"/>
              </w:rPr>
            </w:pPr>
            <w:r>
              <w:rPr>
                <w:rFonts w:eastAsia="宋体" w:cs="Times New Roman"/>
              </w:rPr>
              <w:t>砼</w:t>
            </w:r>
          </w:p>
        </w:tc>
        <w:tc>
          <w:tcPr>
            <w:tcW w:w="1276" w:type="dxa"/>
            <w:vAlign w:val="center"/>
          </w:tcPr>
          <w:p>
            <w:pPr>
              <w:spacing w:line="240" w:lineRule="exact"/>
              <w:jc w:val="center"/>
              <w:rPr>
                <w:rFonts w:eastAsia="宋体" w:cs="Times New Roman"/>
              </w:rPr>
            </w:pPr>
          </w:p>
        </w:tc>
        <w:tc>
          <w:tcPr>
            <w:tcW w:w="1276" w:type="dxa"/>
            <w:vAlign w:val="center"/>
          </w:tcPr>
          <w:p>
            <w:pPr>
              <w:spacing w:line="240" w:lineRule="exact"/>
              <w:jc w:val="center"/>
              <w:rPr>
                <w:rFonts w:eastAsia="宋体" w:cs="Times New Roman"/>
              </w:rPr>
            </w:pPr>
          </w:p>
        </w:tc>
        <w:tc>
          <w:tcPr>
            <w:tcW w:w="1701" w:type="dxa"/>
            <w:vAlign w:val="center"/>
          </w:tcPr>
          <w:p>
            <w:pPr>
              <w:spacing w:line="240" w:lineRule="exact"/>
              <w:jc w:val="center"/>
              <w:rPr>
                <w:rFonts w:eastAsia="宋体" w:cs="Times New Roman"/>
              </w:rPr>
            </w:pPr>
          </w:p>
        </w:tc>
        <w:tc>
          <w:tcPr>
            <w:tcW w:w="709" w:type="dxa"/>
            <w:vAlign w:val="center"/>
          </w:tcPr>
          <w:p>
            <w:pPr>
              <w:spacing w:line="240" w:lineRule="exact"/>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62" w:type="dxa"/>
            <w:vAlign w:val="center"/>
          </w:tcPr>
          <w:p>
            <w:pPr>
              <w:spacing w:line="240" w:lineRule="exact"/>
              <w:jc w:val="center"/>
              <w:rPr>
                <w:rFonts w:eastAsia="宋体" w:cs="Times New Roman"/>
              </w:rPr>
            </w:pPr>
            <w:r>
              <w:rPr>
                <w:rFonts w:eastAsia="宋体" w:cs="Times New Roman"/>
              </w:rPr>
              <w:t>5</w:t>
            </w:r>
          </w:p>
        </w:tc>
        <w:tc>
          <w:tcPr>
            <w:tcW w:w="1985" w:type="dxa"/>
            <w:vAlign w:val="center"/>
          </w:tcPr>
          <w:p>
            <w:pPr>
              <w:spacing w:line="240" w:lineRule="exact"/>
              <w:jc w:val="center"/>
              <w:rPr>
                <w:rFonts w:eastAsia="宋体" w:cs="Times New Roman"/>
              </w:rPr>
            </w:pPr>
            <w:r>
              <w:rPr>
                <w:rFonts w:eastAsia="宋体" w:cs="Times New Roman"/>
              </w:rPr>
              <w:t>移动</w:t>
            </w:r>
          </w:p>
        </w:tc>
        <w:tc>
          <w:tcPr>
            <w:tcW w:w="850" w:type="dxa"/>
            <w:vAlign w:val="center"/>
          </w:tcPr>
          <w:p>
            <w:pPr>
              <w:spacing w:line="240" w:lineRule="exact"/>
              <w:jc w:val="center"/>
              <w:rPr>
                <w:rFonts w:eastAsia="宋体" w:cs="Times New Roman"/>
              </w:rPr>
            </w:pPr>
            <w:r>
              <w:rPr>
                <w:rFonts w:eastAsia="宋体" w:cs="Times New Roman"/>
              </w:rPr>
              <w:t>...</w:t>
            </w:r>
          </w:p>
        </w:tc>
        <w:tc>
          <w:tcPr>
            <w:tcW w:w="1134" w:type="dxa"/>
            <w:vAlign w:val="center"/>
          </w:tcPr>
          <w:p>
            <w:pPr>
              <w:spacing w:line="240" w:lineRule="exact"/>
              <w:jc w:val="center"/>
              <w:rPr>
                <w:rFonts w:eastAsia="宋体" w:cs="Times New Roman"/>
              </w:rPr>
            </w:pPr>
            <w:r>
              <w:rPr>
                <w:rFonts w:eastAsia="宋体" w:cs="Times New Roman"/>
              </w:rPr>
              <w:t>...</w:t>
            </w:r>
          </w:p>
        </w:tc>
        <w:tc>
          <w:tcPr>
            <w:tcW w:w="1276" w:type="dxa"/>
            <w:vAlign w:val="center"/>
          </w:tcPr>
          <w:p>
            <w:pPr>
              <w:spacing w:line="240" w:lineRule="exact"/>
              <w:jc w:val="center"/>
              <w:rPr>
                <w:rFonts w:eastAsia="宋体" w:cs="Times New Roman"/>
              </w:rPr>
            </w:pPr>
          </w:p>
        </w:tc>
        <w:tc>
          <w:tcPr>
            <w:tcW w:w="1276" w:type="dxa"/>
            <w:vAlign w:val="center"/>
          </w:tcPr>
          <w:p>
            <w:pPr>
              <w:spacing w:line="240" w:lineRule="exact"/>
              <w:jc w:val="center"/>
              <w:rPr>
                <w:rFonts w:eastAsia="宋体" w:cs="Times New Roman"/>
              </w:rPr>
            </w:pPr>
          </w:p>
        </w:tc>
        <w:tc>
          <w:tcPr>
            <w:tcW w:w="1701" w:type="dxa"/>
            <w:vAlign w:val="center"/>
          </w:tcPr>
          <w:p>
            <w:pPr>
              <w:spacing w:line="240" w:lineRule="exact"/>
              <w:jc w:val="center"/>
              <w:rPr>
                <w:rFonts w:eastAsia="宋体" w:cs="Times New Roman"/>
              </w:rPr>
            </w:pPr>
          </w:p>
        </w:tc>
        <w:tc>
          <w:tcPr>
            <w:tcW w:w="709" w:type="dxa"/>
            <w:vAlign w:val="center"/>
          </w:tcPr>
          <w:p>
            <w:pPr>
              <w:spacing w:line="240" w:lineRule="exact"/>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562" w:type="dxa"/>
            <w:vAlign w:val="center"/>
          </w:tcPr>
          <w:p>
            <w:pPr>
              <w:spacing w:line="240" w:lineRule="exact"/>
              <w:jc w:val="center"/>
              <w:rPr>
                <w:rFonts w:eastAsia="宋体" w:cs="Times New Roman"/>
              </w:rPr>
            </w:pPr>
            <w:r>
              <w:rPr>
                <w:rFonts w:eastAsia="宋体" w:cs="Times New Roman"/>
              </w:rPr>
              <w:t>6</w:t>
            </w:r>
          </w:p>
        </w:tc>
        <w:tc>
          <w:tcPr>
            <w:tcW w:w="1985" w:type="dxa"/>
            <w:vAlign w:val="center"/>
          </w:tcPr>
          <w:p>
            <w:pPr>
              <w:spacing w:line="240" w:lineRule="exact"/>
              <w:jc w:val="center"/>
              <w:rPr>
                <w:rFonts w:eastAsia="宋体" w:cs="Times New Roman"/>
              </w:rPr>
            </w:pPr>
            <w:r>
              <w:rPr>
                <w:rFonts w:eastAsia="宋体" w:cs="Times New Roman"/>
              </w:rPr>
              <w:t>联动</w:t>
            </w:r>
          </w:p>
        </w:tc>
        <w:tc>
          <w:tcPr>
            <w:tcW w:w="850" w:type="dxa"/>
            <w:vAlign w:val="center"/>
          </w:tcPr>
          <w:p>
            <w:pPr>
              <w:spacing w:line="240" w:lineRule="exact"/>
              <w:jc w:val="center"/>
              <w:rPr>
                <w:rFonts w:eastAsia="宋体" w:cs="Times New Roman"/>
              </w:rPr>
            </w:pPr>
            <w:r>
              <w:rPr>
                <w:rFonts w:eastAsia="宋体" w:cs="Times New Roman"/>
              </w:rPr>
              <w:t>..</w:t>
            </w:r>
          </w:p>
        </w:tc>
        <w:tc>
          <w:tcPr>
            <w:tcW w:w="1134" w:type="dxa"/>
            <w:vAlign w:val="center"/>
          </w:tcPr>
          <w:p>
            <w:pPr>
              <w:spacing w:line="240" w:lineRule="exact"/>
              <w:jc w:val="center"/>
              <w:rPr>
                <w:rFonts w:eastAsia="宋体" w:cs="Times New Roman"/>
              </w:rPr>
            </w:pPr>
            <w:r>
              <w:rPr>
                <w:rFonts w:eastAsia="宋体" w:cs="Times New Roman"/>
              </w:rPr>
              <w:t>..</w:t>
            </w:r>
          </w:p>
        </w:tc>
        <w:tc>
          <w:tcPr>
            <w:tcW w:w="1276" w:type="dxa"/>
            <w:vAlign w:val="center"/>
          </w:tcPr>
          <w:p>
            <w:pPr>
              <w:spacing w:line="240" w:lineRule="exact"/>
              <w:jc w:val="center"/>
              <w:rPr>
                <w:rFonts w:eastAsia="宋体" w:cs="Times New Roman"/>
              </w:rPr>
            </w:pPr>
          </w:p>
        </w:tc>
        <w:tc>
          <w:tcPr>
            <w:tcW w:w="1276" w:type="dxa"/>
            <w:vAlign w:val="center"/>
          </w:tcPr>
          <w:p>
            <w:pPr>
              <w:spacing w:line="240" w:lineRule="exact"/>
              <w:jc w:val="center"/>
              <w:rPr>
                <w:rFonts w:eastAsia="宋体" w:cs="Times New Roman"/>
              </w:rPr>
            </w:pPr>
          </w:p>
        </w:tc>
        <w:tc>
          <w:tcPr>
            <w:tcW w:w="1701" w:type="dxa"/>
            <w:vAlign w:val="center"/>
          </w:tcPr>
          <w:p>
            <w:pPr>
              <w:spacing w:line="240" w:lineRule="exact"/>
              <w:jc w:val="center"/>
              <w:rPr>
                <w:rFonts w:eastAsia="宋体" w:cs="Times New Roman"/>
              </w:rPr>
            </w:pPr>
          </w:p>
        </w:tc>
        <w:tc>
          <w:tcPr>
            <w:tcW w:w="709" w:type="dxa"/>
            <w:vAlign w:val="center"/>
          </w:tcPr>
          <w:p>
            <w:pPr>
              <w:spacing w:line="240" w:lineRule="exact"/>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562" w:type="dxa"/>
            <w:vAlign w:val="center"/>
          </w:tcPr>
          <w:p>
            <w:pPr>
              <w:spacing w:line="240" w:lineRule="exact"/>
              <w:jc w:val="center"/>
              <w:rPr>
                <w:rFonts w:eastAsia="宋体" w:cs="Times New Roman"/>
              </w:rPr>
            </w:pPr>
            <w:r>
              <w:rPr>
                <w:rFonts w:eastAsia="宋体" w:cs="Times New Roman"/>
              </w:rPr>
              <w:t>7</w:t>
            </w:r>
          </w:p>
        </w:tc>
        <w:tc>
          <w:tcPr>
            <w:tcW w:w="1985" w:type="dxa"/>
            <w:vAlign w:val="center"/>
          </w:tcPr>
          <w:p>
            <w:pPr>
              <w:spacing w:line="240" w:lineRule="exact"/>
              <w:jc w:val="center"/>
              <w:rPr>
                <w:rFonts w:eastAsia="宋体" w:cs="Times New Roman"/>
              </w:rPr>
            </w:pPr>
            <w:r>
              <w:rPr>
                <w:rFonts w:eastAsia="宋体" w:cs="Times New Roman"/>
              </w:rPr>
              <w:t>电信</w:t>
            </w:r>
          </w:p>
        </w:tc>
        <w:tc>
          <w:tcPr>
            <w:tcW w:w="850" w:type="dxa"/>
            <w:vAlign w:val="center"/>
          </w:tcPr>
          <w:p>
            <w:pPr>
              <w:spacing w:line="240" w:lineRule="exact"/>
              <w:jc w:val="center"/>
              <w:rPr>
                <w:rFonts w:eastAsia="宋体" w:cs="Times New Roman"/>
              </w:rPr>
            </w:pPr>
            <w:r>
              <w:rPr>
                <w:rFonts w:eastAsia="宋体" w:cs="Times New Roman"/>
              </w:rPr>
              <w:t>...</w:t>
            </w:r>
          </w:p>
        </w:tc>
        <w:tc>
          <w:tcPr>
            <w:tcW w:w="1134" w:type="dxa"/>
            <w:vAlign w:val="center"/>
          </w:tcPr>
          <w:p>
            <w:pPr>
              <w:spacing w:line="240" w:lineRule="exact"/>
              <w:jc w:val="center"/>
              <w:rPr>
                <w:rFonts w:eastAsia="宋体" w:cs="Times New Roman"/>
              </w:rPr>
            </w:pPr>
            <w:r>
              <w:rPr>
                <w:rFonts w:eastAsia="宋体" w:cs="Times New Roman"/>
              </w:rPr>
              <w:t>...</w:t>
            </w:r>
          </w:p>
        </w:tc>
        <w:tc>
          <w:tcPr>
            <w:tcW w:w="1276" w:type="dxa"/>
            <w:vAlign w:val="center"/>
          </w:tcPr>
          <w:p>
            <w:pPr>
              <w:spacing w:line="240" w:lineRule="exact"/>
              <w:jc w:val="center"/>
              <w:rPr>
                <w:rFonts w:eastAsia="宋体" w:cs="Times New Roman"/>
              </w:rPr>
            </w:pPr>
          </w:p>
        </w:tc>
        <w:tc>
          <w:tcPr>
            <w:tcW w:w="1276" w:type="dxa"/>
            <w:vAlign w:val="center"/>
          </w:tcPr>
          <w:p>
            <w:pPr>
              <w:spacing w:line="240" w:lineRule="exact"/>
              <w:jc w:val="center"/>
              <w:rPr>
                <w:rFonts w:eastAsia="宋体" w:cs="Times New Roman"/>
              </w:rPr>
            </w:pPr>
          </w:p>
        </w:tc>
        <w:tc>
          <w:tcPr>
            <w:tcW w:w="1701" w:type="dxa"/>
            <w:vAlign w:val="center"/>
          </w:tcPr>
          <w:p>
            <w:pPr>
              <w:spacing w:line="240" w:lineRule="exact"/>
              <w:jc w:val="center"/>
              <w:rPr>
                <w:rFonts w:eastAsia="宋体" w:cs="Times New Roman"/>
              </w:rPr>
            </w:pPr>
          </w:p>
        </w:tc>
        <w:tc>
          <w:tcPr>
            <w:tcW w:w="709" w:type="dxa"/>
            <w:vAlign w:val="center"/>
          </w:tcPr>
          <w:p>
            <w:pPr>
              <w:spacing w:line="240" w:lineRule="exact"/>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562" w:type="dxa"/>
            <w:vAlign w:val="center"/>
          </w:tcPr>
          <w:p>
            <w:pPr>
              <w:spacing w:line="240" w:lineRule="exact"/>
              <w:jc w:val="center"/>
              <w:rPr>
                <w:rFonts w:eastAsia="宋体" w:cs="Times New Roman"/>
              </w:rPr>
            </w:pPr>
            <w:r>
              <w:rPr>
                <w:rFonts w:eastAsia="宋体" w:cs="Times New Roman"/>
              </w:rPr>
              <w:t>8</w:t>
            </w:r>
          </w:p>
        </w:tc>
        <w:tc>
          <w:tcPr>
            <w:tcW w:w="1985" w:type="dxa"/>
            <w:vAlign w:val="center"/>
          </w:tcPr>
          <w:p>
            <w:pPr>
              <w:spacing w:line="240" w:lineRule="exact"/>
              <w:jc w:val="center"/>
              <w:rPr>
                <w:rFonts w:eastAsia="宋体" w:cs="Times New Roman"/>
              </w:rPr>
            </w:pPr>
            <w:r>
              <w:rPr>
                <w:rFonts w:eastAsia="宋体" w:cs="Times New Roman"/>
              </w:rPr>
              <w:t>铁塔</w:t>
            </w:r>
          </w:p>
        </w:tc>
        <w:tc>
          <w:tcPr>
            <w:tcW w:w="850" w:type="dxa"/>
            <w:vAlign w:val="center"/>
          </w:tcPr>
          <w:p>
            <w:pPr>
              <w:spacing w:line="240" w:lineRule="exact"/>
              <w:jc w:val="center"/>
              <w:rPr>
                <w:rFonts w:eastAsia="宋体" w:cs="Times New Roman"/>
              </w:rPr>
            </w:pPr>
            <w:r>
              <w:rPr>
                <w:rFonts w:eastAsia="宋体" w:cs="Times New Roman"/>
              </w:rPr>
              <w:t>...</w:t>
            </w:r>
          </w:p>
        </w:tc>
        <w:tc>
          <w:tcPr>
            <w:tcW w:w="1134" w:type="dxa"/>
            <w:vAlign w:val="center"/>
          </w:tcPr>
          <w:p>
            <w:pPr>
              <w:spacing w:line="240" w:lineRule="exact"/>
              <w:jc w:val="center"/>
              <w:rPr>
                <w:rFonts w:eastAsia="宋体" w:cs="Times New Roman"/>
              </w:rPr>
            </w:pPr>
            <w:r>
              <w:rPr>
                <w:rFonts w:eastAsia="宋体" w:cs="Times New Roman"/>
              </w:rPr>
              <w:t>...</w:t>
            </w:r>
          </w:p>
        </w:tc>
        <w:tc>
          <w:tcPr>
            <w:tcW w:w="1276" w:type="dxa"/>
            <w:vAlign w:val="center"/>
          </w:tcPr>
          <w:p>
            <w:pPr>
              <w:spacing w:line="240" w:lineRule="exact"/>
              <w:jc w:val="center"/>
              <w:rPr>
                <w:rFonts w:eastAsia="宋体" w:cs="Times New Roman"/>
              </w:rPr>
            </w:pPr>
          </w:p>
        </w:tc>
        <w:tc>
          <w:tcPr>
            <w:tcW w:w="1276" w:type="dxa"/>
            <w:vAlign w:val="center"/>
          </w:tcPr>
          <w:p>
            <w:pPr>
              <w:spacing w:line="240" w:lineRule="exact"/>
              <w:jc w:val="center"/>
              <w:rPr>
                <w:rFonts w:eastAsia="宋体" w:cs="Times New Roman"/>
              </w:rPr>
            </w:pPr>
          </w:p>
        </w:tc>
        <w:tc>
          <w:tcPr>
            <w:tcW w:w="1701" w:type="dxa"/>
            <w:vAlign w:val="center"/>
          </w:tcPr>
          <w:p>
            <w:pPr>
              <w:spacing w:line="240" w:lineRule="exact"/>
              <w:jc w:val="center"/>
              <w:rPr>
                <w:rFonts w:eastAsia="宋体" w:cs="Times New Roman"/>
              </w:rPr>
            </w:pPr>
          </w:p>
        </w:tc>
        <w:tc>
          <w:tcPr>
            <w:tcW w:w="709" w:type="dxa"/>
            <w:vAlign w:val="center"/>
          </w:tcPr>
          <w:p>
            <w:pPr>
              <w:spacing w:line="240" w:lineRule="exact"/>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562" w:type="dxa"/>
            <w:vAlign w:val="center"/>
          </w:tcPr>
          <w:p>
            <w:pPr>
              <w:spacing w:line="240" w:lineRule="exact"/>
              <w:jc w:val="center"/>
              <w:rPr>
                <w:rFonts w:eastAsia="宋体" w:cs="Times New Roman"/>
              </w:rPr>
            </w:pPr>
            <w:r>
              <w:rPr>
                <w:rFonts w:eastAsia="宋体" w:cs="Times New Roman"/>
              </w:rPr>
              <w:t>9</w:t>
            </w:r>
          </w:p>
        </w:tc>
        <w:tc>
          <w:tcPr>
            <w:tcW w:w="1985" w:type="dxa"/>
            <w:vAlign w:val="center"/>
          </w:tcPr>
          <w:p>
            <w:pPr>
              <w:spacing w:line="240" w:lineRule="exact"/>
              <w:jc w:val="center"/>
              <w:rPr>
                <w:rFonts w:eastAsia="宋体" w:cs="Times New Roman"/>
              </w:rPr>
            </w:pPr>
            <w:r>
              <w:rPr>
                <w:rFonts w:eastAsia="宋体" w:cs="Times New Roman"/>
              </w:rPr>
              <w:t>给水</w:t>
            </w:r>
          </w:p>
        </w:tc>
        <w:tc>
          <w:tcPr>
            <w:tcW w:w="850" w:type="dxa"/>
            <w:vAlign w:val="center"/>
          </w:tcPr>
          <w:p>
            <w:pPr>
              <w:spacing w:line="240" w:lineRule="exact"/>
              <w:jc w:val="center"/>
              <w:rPr>
                <w:rFonts w:eastAsia="宋体" w:cs="Times New Roman"/>
              </w:rPr>
            </w:pPr>
            <w:r>
              <w:rPr>
                <w:rFonts w:eastAsia="宋体" w:cs="Times New Roman"/>
              </w:rPr>
              <w:t>...</w:t>
            </w:r>
          </w:p>
        </w:tc>
        <w:tc>
          <w:tcPr>
            <w:tcW w:w="1134" w:type="dxa"/>
            <w:vAlign w:val="center"/>
          </w:tcPr>
          <w:p>
            <w:pPr>
              <w:spacing w:line="240" w:lineRule="exact"/>
              <w:jc w:val="center"/>
              <w:rPr>
                <w:rFonts w:eastAsia="宋体" w:cs="Times New Roman"/>
              </w:rPr>
            </w:pPr>
            <w:r>
              <w:rPr>
                <w:rFonts w:eastAsia="宋体" w:cs="Times New Roman"/>
              </w:rPr>
              <w:t>…</w:t>
            </w:r>
          </w:p>
        </w:tc>
        <w:tc>
          <w:tcPr>
            <w:tcW w:w="1276" w:type="dxa"/>
            <w:vAlign w:val="center"/>
          </w:tcPr>
          <w:p>
            <w:pPr>
              <w:spacing w:line="240" w:lineRule="exact"/>
              <w:jc w:val="center"/>
              <w:rPr>
                <w:rFonts w:eastAsia="宋体" w:cs="Times New Roman"/>
              </w:rPr>
            </w:pPr>
          </w:p>
        </w:tc>
        <w:tc>
          <w:tcPr>
            <w:tcW w:w="1276" w:type="dxa"/>
            <w:vAlign w:val="center"/>
          </w:tcPr>
          <w:p>
            <w:pPr>
              <w:spacing w:line="240" w:lineRule="exact"/>
              <w:jc w:val="center"/>
              <w:rPr>
                <w:rFonts w:eastAsia="宋体" w:cs="Times New Roman"/>
              </w:rPr>
            </w:pPr>
          </w:p>
        </w:tc>
        <w:tc>
          <w:tcPr>
            <w:tcW w:w="1701" w:type="dxa"/>
            <w:vAlign w:val="center"/>
          </w:tcPr>
          <w:p>
            <w:pPr>
              <w:spacing w:line="240" w:lineRule="exact"/>
              <w:jc w:val="center"/>
              <w:rPr>
                <w:rFonts w:eastAsia="宋体" w:cs="Times New Roman"/>
              </w:rPr>
            </w:pPr>
          </w:p>
        </w:tc>
        <w:tc>
          <w:tcPr>
            <w:tcW w:w="709" w:type="dxa"/>
            <w:vAlign w:val="center"/>
          </w:tcPr>
          <w:p>
            <w:pPr>
              <w:spacing w:line="240" w:lineRule="exact"/>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62" w:type="dxa"/>
            <w:vAlign w:val="center"/>
          </w:tcPr>
          <w:p>
            <w:pPr>
              <w:spacing w:line="240" w:lineRule="exact"/>
              <w:jc w:val="center"/>
              <w:rPr>
                <w:rFonts w:eastAsia="宋体" w:cs="Times New Roman"/>
              </w:rPr>
            </w:pPr>
            <w:r>
              <w:rPr>
                <w:rFonts w:eastAsia="宋体" w:cs="Times New Roman"/>
              </w:rPr>
              <w:t>10</w:t>
            </w:r>
          </w:p>
        </w:tc>
        <w:tc>
          <w:tcPr>
            <w:tcW w:w="1985" w:type="dxa"/>
            <w:vAlign w:val="center"/>
          </w:tcPr>
          <w:p>
            <w:pPr>
              <w:spacing w:line="240" w:lineRule="exact"/>
              <w:jc w:val="center"/>
              <w:rPr>
                <w:rFonts w:eastAsia="宋体" w:cs="Times New Roman"/>
              </w:rPr>
            </w:pPr>
            <w:r>
              <w:rPr>
                <w:rFonts w:eastAsia="宋体" w:cs="Times New Roman"/>
              </w:rPr>
              <w:t>燃气</w:t>
            </w:r>
          </w:p>
        </w:tc>
        <w:tc>
          <w:tcPr>
            <w:tcW w:w="850" w:type="dxa"/>
            <w:vAlign w:val="center"/>
          </w:tcPr>
          <w:p>
            <w:pPr>
              <w:spacing w:line="240" w:lineRule="exact"/>
              <w:jc w:val="center"/>
              <w:rPr>
                <w:rFonts w:eastAsia="宋体" w:cs="Times New Roman"/>
              </w:rPr>
            </w:pPr>
            <w:r>
              <w:rPr>
                <w:rFonts w:eastAsia="宋体" w:cs="Times New Roman"/>
              </w:rPr>
              <w:t>...</w:t>
            </w:r>
          </w:p>
        </w:tc>
        <w:tc>
          <w:tcPr>
            <w:tcW w:w="1134" w:type="dxa"/>
            <w:vAlign w:val="center"/>
          </w:tcPr>
          <w:p>
            <w:pPr>
              <w:spacing w:line="240" w:lineRule="exact"/>
              <w:jc w:val="center"/>
              <w:rPr>
                <w:rFonts w:eastAsia="宋体" w:cs="Times New Roman"/>
              </w:rPr>
            </w:pPr>
            <w:r>
              <w:rPr>
                <w:rFonts w:eastAsia="宋体" w:cs="Times New Roman"/>
              </w:rPr>
              <w:t>..</w:t>
            </w:r>
          </w:p>
        </w:tc>
        <w:tc>
          <w:tcPr>
            <w:tcW w:w="1276" w:type="dxa"/>
            <w:vAlign w:val="center"/>
          </w:tcPr>
          <w:p>
            <w:pPr>
              <w:spacing w:line="240" w:lineRule="exact"/>
              <w:jc w:val="center"/>
              <w:rPr>
                <w:rFonts w:eastAsia="宋体" w:cs="Times New Roman"/>
              </w:rPr>
            </w:pPr>
          </w:p>
        </w:tc>
        <w:tc>
          <w:tcPr>
            <w:tcW w:w="1276" w:type="dxa"/>
            <w:vAlign w:val="center"/>
          </w:tcPr>
          <w:p>
            <w:pPr>
              <w:spacing w:line="240" w:lineRule="exact"/>
              <w:jc w:val="center"/>
              <w:rPr>
                <w:rFonts w:eastAsia="宋体" w:cs="Times New Roman"/>
              </w:rPr>
            </w:pPr>
          </w:p>
        </w:tc>
        <w:tc>
          <w:tcPr>
            <w:tcW w:w="1701" w:type="dxa"/>
            <w:vAlign w:val="center"/>
          </w:tcPr>
          <w:p>
            <w:pPr>
              <w:spacing w:line="240" w:lineRule="exact"/>
              <w:jc w:val="center"/>
              <w:rPr>
                <w:rFonts w:eastAsia="宋体" w:cs="Times New Roman"/>
              </w:rPr>
            </w:pPr>
          </w:p>
        </w:tc>
        <w:tc>
          <w:tcPr>
            <w:tcW w:w="709" w:type="dxa"/>
            <w:vAlign w:val="center"/>
          </w:tcPr>
          <w:p>
            <w:pPr>
              <w:spacing w:line="240" w:lineRule="exact"/>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62" w:type="dxa"/>
            <w:vAlign w:val="center"/>
          </w:tcPr>
          <w:p>
            <w:pPr>
              <w:spacing w:line="240" w:lineRule="exact"/>
              <w:jc w:val="center"/>
              <w:rPr>
                <w:rFonts w:eastAsia="宋体" w:cs="Times New Roman"/>
              </w:rPr>
            </w:pPr>
            <w:r>
              <w:rPr>
                <w:rFonts w:eastAsia="宋体" w:cs="Times New Roman"/>
              </w:rPr>
              <w:t>11</w:t>
            </w:r>
          </w:p>
        </w:tc>
        <w:tc>
          <w:tcPr>
            <w:tcW w:w="1985" w:type="dxa"/>
            <w:vAlign w:val="center"/>
          </w:tcPr>
          <w:p>
            <w:pPr>
              <w:spacing w:line="240" w:lineRule="exact"/>
              <w:jc w:val="center"/>
              <w:rPr>
                <w:rFonts w:eastAsia="宋体" w:cs="Times New Roman"/>
              </w:rPr>
            </w:pPr>
            <w:r>
              <w:rPr>
                <w:rFonts w:eastAsia="宋体" w:cs="Times New Roman"/>
              </w:rPr>
              <w:t>热力</w:t>
            </w:r>
          </w:p>
        </w:tc>
        <w:tc>
          <w:tcPr>
            <w:tcW w:w="850" w:type="dxa"/>
            <w:vAlign w:val="center"/>
          </w:tcPr>
          <w:p>
            <w:pPr>
              <w:spacing w:line="240" w:lineRule="exact"/>
              <w:jc w:val="center"/>
              <w:rPr>
                <w:rFonts w:eastAsia="宋体" w:cs="Times New Roman"/>
              </w:rPr>
            </w:pPr>
            <w:r>
              <w:rPr>
                <w:rFonts w:eastAsia="宋体" w:cs="Times New Roman"/>
              </w:rPr>
              <w:t>...</w:t>
            </w:r>
          </w:p>
        </w:tc>
        <w:tc>
          <w:tcPr>
            <w:tcW w:w="1134" w:type="dxa"/>
            <w:vAlign w:val="center"/>
          </w:tcPr>
          <w:p>
            <w:pPr>
              <w:spacing w:line="240" w:lineRule="exact"/>
              <w:jc w:val="center"/>
              <w:rPr>
                <w:rFonts w:eastAsia="宋体" w:cs="Times New Roman"/>
              </w:rPr>
            </w:pPr>
            <w:r>
              <w:rPr>
                <w:rFonts w:eastAsia="宋体" w:cs="Times New Roman"/>
              </w:rPr>
              <w:t>...</w:t>
            </w:r>
          </w:p>
        </w:tc>
        <w:tc>
          <w:tcPr>
            <w:tcW w:w="1276" w:type="dxa"/>
            <w:vAlign w:val="center"/>
          </w:tcPr>
          <w:p>
            <w:pPr>
              <w:spacing w:line="240" w:lineRule="exact"/>
              <w:jc w:val="center"/>
              <w:rPr>
                <w:rFonts w:eastAsia="宋体" w:cs="Times New Roman"/>
              </w:rPr>
            </w:pPr>
          </w:p>
        </w:tc>
        <w:tc>
          <w:tcPr>
            <w:tcW w:w="1276" w:type="dxa"/>
            <w:vAlign w:val="center"/>
          </w:tcPr>
          <w:p>
            <w:pPr>
              <w:spacing w:line="240" w:lineRule="exact"/>
              <w:jc w:val="center"/>
              <w:rPr>
                <w:rFonts w:eastAsia="宋体" w:cs="Times New Roman"/>
              </w:rPr>
            </w:pPr>
          </w:p>
        </w:tc>
        <w:tc>
          <w:tcPr>
            <w:tcW w:w="1701" w:type="dxa"/>
            <w:vAlign w:val="center"/>
          </w:tcPr>
          <w:p>
            <w:pPr>
              <w:spacing w:line="240" w:lineRule="exact"/>
              <w:jc w:val="center"/>
              <w:rPr>
                <w:rFonts w:eastAsia="宋体" w:cs="Times New Roman"/>
              </w:rPr>
            </w:pPr>
          </w:p>
        </w:tc>
        <w:tc>
          <w:tcPr>
            <w:tcW w:w="709" w:type="dxa"/>
            <w:vAlign w:val="center"/>
          </w:tcPr>
          <w:p>
            <w:pPr>
              <w:spacing w:line="240" w:lineRule="exact"/>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562" w:type="dxa"/>
            <w:vAlign w:val="center"/>
          </w:tcPr>
          <w:p>
            <w:pPr>
              <w:spacing w:line="240" w:lineRule="exact"/>
              <w:jc w:val="center"/>
              <w:rPr>
                <w:rFonts w:eastAsia="宋体" w:cs="Times New Roman"/>
              </w:rPr>
            </w:pPr>
            <w:r>
              <w:rPr>
                <w:rFonts w:eastAsia="宋体" w:cs="Times New Roman"/>
              </w:rPr>
              <w:t>12</w:t>
            </w:r>
          </w:p>
        </w:tc>
        <w:tc>
          <w:tcPr>
            <w:tcW w:w="1985" w:type="dxa"/>
            <w:vAlign w:val="center"/>
          </w:tcPr>
          <w:p>
            <w:pPr>
              <w:spacing w:line="240" w:lineRule="exact"/>
              <w:jc w:val="center"/>
              <w:rPr>
                <w:rFonts w:eastAsia="宋体" w:cs="Times New Roman"/>
              </w:rPr>
            </w:pPr>
            <w:r>
              <w:rPr>
                <w:rFonts w:eastAsia="宋体" w:cs="Times New Roman"/>
              </w:rPr>
              <w:t>交管监控或路灯井</w:t>
            </w:r>
          </w:p>
        </w:tc>
        <w:tc>
          <w:tcPr>
            <w:tcW w:w="850" w:type="dxa"/>
            <w:vAlign w:val="center"/>
          </w:tcPr>
          <w:p>
            <w:pPr>
              <w:spacing w:line="240" w:lineRule="exact"/>
              <w:jc w:val="center"/>
              <w:rPr>
                <w:rFonts w:eastAsia="宋体" w:cs="Times New Roman"/>
              </w:rPr>
            </w:pPr>
            <w:r>
              <w:rPr>
                <w:rFonts w:eastAsia="宋体" w:cs="Times New Roman"/>
              </w:rPr>
              <w:t>...</w:t>
            </w:r>
          </w:p>
        </w:tc>
        <w:tc>
          <w:tcPr>
            <w:tcW w:w="1134" w:type="dxa"/>
            <w:vAlign w:val="center"/>
          </w:tcPr>
          <w:p>
            <w:pPr>
              <w:spacing w:line="240" w:lineRule="exact"/>
              <w:jc w:val="center"/>
              <w:rPr>
                <w:rFonts w:eastAsia="宋体" w:cs="Times New Roman"/>
              </w:rPr>
            </w:pPr>
            <w:r>
              <w:rPr>
                <w:rFonts w:eastAsia="宋体" w:cs="Times New Roman"/>
              </w:rPr>
              <w:t>..</w:t>
            </w:r>
          </w:p>
        </w:tc>
        <w:tc>
          <w:tcPr>
            <w:tcW w:w="1276" w:type="dxa"/>
            <w:vAlign w:val="center"/>
          </w:tcPr>
          <w:p>
            <w:pPr>
              <w:spacing w:line="240" w:lineRule="exact"/>
              <w:jc w:val="center"/>
              <w:rPr>
                <w:rFonts w:eastAsia="宋体" w:cs="Times New Roman"/>
              </w:rPr>
            </w:pPr>
          </w:p>
        </w:tc>
        <w:tc>
          <w:tcPr>
            <w:tcW w:w="1276" w:type="dxa"/>
            <w:vAlign w:val="center"/>
          </w:tcPr>
          <w:p>
            <w:pPr>
              <w:spacing w:line="240" w:lineRule="exact"/>
              <w:jc w:val="center"/>
              <w:rPr>
                <w:rFonts w:eastAsia="宋体" w:cs="Times New Roman"/>
              </w:rPr>
            </w:pPr>
          </w:p>
        </w:tc>
        <w:tc>
          <w:tcPr>
            <w:tcW w:w="1701" w:type="dxa"/>
            <w:vAlign w:val="center"/>
          </w:tcPr>
          <w:p>
            <w:pPr>
              <w:spacing w:line="240" w:lineRule="exact"/>
              <w:jc w:val="center"/>
              <w:rPr>
                <w:rFonts w:eastAsia="宋体" w:cs="Times New Roman"/>
              </w:rPr>
            </w:pPr>
          </w:p>
        </w:tc>
        <w:tc>
          <w:tcPr>
            <w:tcW w:w="709" w:type="dxa"/>
            <w:vAlign w:val="center"/>
          </w:tcPr>
          <w:p>
            <w:pPr>
              <w:spacing w:line="240" w:lineRule="exact"/>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62" w:type="dxa"/>
            <w:vAlign w:val="center"/>
          </w:tcPr>
          <w:p>
            <w:pPr>
              <w:spacing w:line="240" w:lineRule="exact"/>
              <w:jc w:val="center"/>
              <w:rPr>
                <w:rFonts w:eastAsia="宋体" w:cs="Times New Roman"/>
              </w:rPr>
            </w:pPr>
            <w:r>
              <w:rPr>
                <w:rFonts w:eastAsia="宋体" w:cs="Times New Roman"/>
              </w:rPr>
              <w:t>13</w:t>
            </w:r>
          </w:p>
        </w:tc>
        <w:tc>
          <w:tcPr>
            <w:tcW w:w="1985" w:type="dxa"/>
            <w:vAlign w:val="center"/>
          </w:tcPr>
          <w:p>
            <w:pPr>
              <w:spacing w:line="240" w:lineRule="exact"/>
              <w:jc w:val="center"/>
              <w:rPr>
                <w:rFonts w:eastAsia="宋体" w:cs="Times New Roman"/>
              </w:rPr>
            </w:pPr>
            <w:r>
              <w:rPr>
                <w:rFonts w:eastAsia="宋体" w:cs="Times New Roman"/>
              </w:rPr>
              <w:t>…</w:t>
            </w:r>
          </w:p>
        </w:tc>
        <w:tc>
          <w:tcPr>
            <w:tcW w:w="850" w:type="dxa"/>
            <w:vAlign w:val="center"/>
          </w:tcPr>
          <w:p>
            <w:pPr>
              <w:spacing w:line="240" w:lineRule="exact"/>
              <w:jc w:val="center"/>
              <w:rPr>
                <w:rFonts w:eastAsia="宋体" w:cs="Times New Roman"/>
              </w:rPr>
            </w:pPr>
            <w:r>
              <w:rPr>
                <w:rFonts w:eastAsia="宋体" w:cs="Times New Roman"/>
              </w:rPr>
              <w:t>...</w:t>
            </w:r>
          </w:p>
        </w:tc>
        <w:tc>
          <w:tcPr>
            <w:tcW w:w="1134" w:type="dxa"/>
            <w:vAlign w:val="center"/>
          </w:tcPr>
          <w:p>
            <w:pPr>
              <w:spacing w:line="240" w:lineRule="exact"/>
              <w:jc w:val="center"/>
              <w:rPr>
                <w:rFonts w:eastAsia="宋体" w:cs="Times New Roman"/>
              </w:rPr>
            </w:pPr>
            <w:r>
              <w:rPr>
                <w:rFonts w:eastAsia="宋体" w:cs="Times New Roman"/>
              </w:rPr>
              <w:t>..</w:t>
            </w:r>
          </w:p>
        </w:tc>
        <w:tc>
          <w:tcPr>
            <w:tcW w:w="1276" w:type="dxa"/>
            <w:vAlign w:val="center"/>
          </w:tcPr>
          <w:p>
            <w:pPr>
              <w:spacing w:line="240" w:lineRule="exact"/>
              <w:jc w:val="center"/>
              <w:rPr>
                <w:rFonts w:eastAsia="宋体" w:cs="Times New Roman"/>
              </w:rPr>
            </w:pPr>
          </w:p>
        </w:tc>
        <w:tc>
          <w:tcPr>
            <w:tcW w:w="1276" w:type="dxa"/>
            <w:vAlign w:val="center"/>
          </w:tcPr>
          <w:p>
            <w:pPr>
              <w:spacing w:line="240" w:lineRule="exact"/>
              <w:jc w:val="center"/>
              <w:rPr>
                <w:rFonts w:eastAsia="宋体" w:cs="Times New Roman"/>
              </w:rPr>
            </w:pPr>
          </w:p>
        </w:tc>
        <w:tc>
          <w:tcPr>
            <w:tcW w:w="1701" w:type="dxa"/>
            <w:vAlign w:val="center"/>
          </w:tcPr>
          <w:p>
            <w:pPr>
              <w:spacing w:line="240" w:lineRule="exact"/>
              <w:jc w:val="center"/>
              <w:rPr>
                <w:rFonts w:eastAsia="宋体" w:cs="Times New Roman"/>
              </w:rPr>
            </w:pPr>
          </w:p>
        </w:tc>
        <w:tc>
          <w:tcPr>
            <w:tcW w:w="709" w:type="dxa"/>
            <w:vAlign w:val="center"/>
          </w:tcPr>
          <w:p>
            <w:pPr>
              <w:spacing w:line="240" w:lineRule="exact"/>
              <w:jc w:val="center"/>
              <w:rPr>
                <w:rFonts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62" w:type="dxa"/>
            <w:vAlign w:val="center"/>
          </w:tcPr>
          <w:p>
            <w:pPr>
              <w:spacing w:line="240" w:lineRule="exact"/>
              <w:jc w:val="center"/>
              <w:rPr>
                <w:rFonts w:eastAsia="宋体" w:cs="Times New Roman"/>
              </w:rPr>
            </w:pPr>
            <w:r>
              <w:rPr>
                <w:rFonts w:eastAsia="宋体" w:cs="Times New Roman"/>
              </w:rPr>
              <w:t>…</w:t>
            </w:r>
          </w:p>
        </w:tc>
        <w:tc>
          <w:tcPr>
            <w:tcW w:w="1985" w:type="dxa"/>
            <w:vAlign w:val="center"/>
          </w:tcPr>
          <w:p>
            <w:pPr>
              <w:spacing w:line="240" w:lineRule="exact"/>
              <w:jc w:val="center"/>
              <w:rPr>
                <w:rFonts w:eastAsia="宋体" w:cs="Times New Roman"/>
              </w:rPr>
            </w:pPr>
            <w:r>
              <w:rPr>
                <w:rFonts w:eastAsia="宋体" w:cs="Times New Roman"/>
              </w:rPr>
              <w:t>…</w:t>
            </w:r>
          </w:p>
        </w:tc>
        <w:tc>
          <w:tcPr>
            <w:tcW w:w="850" w:type="dxa"/>
            <w:vAlign w:val="center"/>
          </w:tcPr>
          <w:p>
            <w:pPr>
              <w:spacing w:line="240" w:lineRule="exact"/>
              <w:jc w:val="center"/>
              <w:rPr>
                <w:rFonts w:eastAsia="宋体" w:cs="Times New Roman"/>
              </w:rPr>
            </w:pPr>
            <w:r>
              <w:rPr>
                <w:rFonts w:eastAsia="宋体" w:cs="Times New Roman"/>
              </w:rPr>
              <w:t>..</w:t>
            </w:r>
          </w:p>
        </w:tc>
        <w:tc>
          <w:tcPr>
            <w:tcW w:w="1134" w:type="dxa"/>
            <w:vAlign w:val="center"/>
          </w:tcPr>
          <w:p>
            <w:pPr>
              <w:spacing w:line="240" w:lineRule="exact"/>
              <w:jc w:val="center"/>
              <w:rPr>
                <w:rFonts w:eastAsia="宋体" w:cs="Times New Roman"/>
              </w:rPr>
            </w:pPr>
            <w:r>
              <w:rPr>
                <w:rFonts w:eastAsia="宋体" w:cs="Times New Roman"/>
              </w:rPr>
              <w:t>...</w:t>
            </w:r>
          </w:p>
        </w:tc>
        <w:tc>
          <w:tcPr>
            <w:tcW w:w="1276" w:type="dxa"/>
            <w:vAlign w:val="center"/>
          </w:tcPr>
          <w:p>
            <w:pPr>
              <w:spacing w:line="240" w:lineRule="exact"/>
              <w:jc w:val="center"/>
              <w:rPr>
                <w:rFonts w:eastAsia="宋体" w:cs="Times New Roman"/>
              </w:rPr>
            </w:pPr>
          </w:p>
        </w:tc>
        <w:tc>
          <w:tcPr>
            <w:tcW w:w="1276" w:type="dxa"/>
            <w:vAlign w:val="center"/>
          </w:tcPr>
          <w:p>
            <w:pPr>
              <w:spacing w:line="240" w:lineRule="exact"/>
              <w:jc w:val="center"/>
              <w:rPr>
                <w:rFonts w:eastAsia="宋体" w:cs="Times New Roman"/>
              </w:rPr>
            </w:pPr>
          </w:p>
        </w:tc>
        <w:tc>
          <w:tcPr>
            <w:tcW w:w="1701" w:type="dxa"/>
            <w:vAlign w:val="center"/>
          </w:tcPr>
          <w:p>
            <w:pPr>
              <w:spacing w:line="240" w:lineRule="exact"/>
              <w:jc w:val="center"/>
              <w:rPr>
                <w:rFonts w:eastAsia="宋体" w:cs="Times New Roman"/>
              </w:rPr>
            </w:pPr>
          </w:p>
        </w:tc>
        <w:tc>
          <w:tcPr>
            <w:tcW w:w="709" w:type="dxa"/>
            <w:vAlign w:val="center"/>
          </w:tcPr>
          <w:p>
            <w:pPr>
              <w:spacing w:line="240" w:lineRule="exact"/>
              <w:jc w:val="center"/>
              <w:rPr>
                <w:rFonts w:eastAsia="宋体" w:cs="Times New Roman"/>
              </w:rPr>
            </w:pPr>
          </w:p>
        </w:tc>
      </w:tr>
    </w:tbl>
    <w:p>
      <w:pPr>
        <w:spacing w:line="400" w:lineRule="exact"/>
        <w:ind w:firstLine="480" w:firstLineChars="200"/>
        <w:rPr>
          <w:rFonts w:eastAsia="仿宋" w:cs="Times New Roman"/>
          <w:sz w:val="24"/>
          <w:szCs w:val="28"/>
        </w:rPr>
      </w:pPr>
      <w:r>
        <w:rPr>
          <w:rFonts w:eastAsia="仿宋" w:cs="Times New Roman"/>
          <w:sz w:val="24"/>
          <w:szCs w:val="28"/>
        </w:rPr>
        <w:t>说明：</w:t>
      </w:r>
      <w:r>
        <w:rPr>
          <w:rFonts w:hint="eastAsia" w:eastAsia="仿宋" w:cs="Times New Roman"/>
          <w:sz w:val="24"/>
          <w:szCs w:val="28"/>
        </w:rPr>
        <w:t>此表为普查的所有窨井盖统计用。</w:t>
      </w:r>
      <w:r>
        <w:rPr>
          <w:rFonts w:eastAsia="仿宋" w:cs="Times New Roman"/>
          <w:sz w:val="24"/>
          <w:szCs w:val="28"/>
        </w:rPr>
        <w:t>其他区域窨井盖信息采集参照此表格式进行统计汇总。</w:t>
      </w:r>
    </w:p>
    <w:p>
      <w:pPr>
        <w:widowControl/>
        <w:spacing w:line="400" w:lineRule="exact"/>
        <w:ind w:firstLine="480" w:firstLineChars="200"/>
        <w:jc w:val="left"/>
        <w:rPr>
          <w:rFonts w:eastAsia="仿宋" w:cs="Times New Roman"/>
          <w:sz w:val="24"/>
        </w:rPr>
      </w:pPr>
      <w:r>
        <w:rPr>
          <w:rFonts w:hint="eastAsia" w:eastAsia="仿宋" w:cs="Times New Roman"/>
          <w:sz w:val="24"/>
        </w:rPr>
        <w:t>此表由河南省推进城镇基础设施建设管理工作联席会议办公室制定。</w:t>
      </w:r>
    </w:p>
    <w:p>
      <w:pPr>
        <w:widowControl/>
        <w:jc w:val="left"/>
        <w:rPr>
          <w:rFonts w:hint="eastAsia" w:ascii="黑体" w:hAnsi="黑体" w:eastAsia="黑体" w:cs="Times New Roman"/>
          <w:sz w:val="32"/>
          <w:szCs w:val="32"/>
          <w:lang w:eastAsia="zh-CN"/>
        </w:rPr>
      </w:pPr>
      <w:r>
        <w:rPr>
          <w:rFonts w:eastAsia="仿宋" w:cs="Times New Roman"/>
          <w:sz w:val="24"/>
          <w:szCs w:val="28"/>
        </w:rPr>
        <w:br w:type="page"/>
      </w:r>
      <w:r>
        <w:rPr>
          <w:rFonts w:hint="eastAsia" w:ascii="黑体" w:hAnsi="黑体" w:eastAsia="黑体" w:cs="Times New Roman"/>
          <w:sz w:val="32"/>
          <w:szCs w:val="32"/>
        </w:rPr>
        <w:t>附件</w:t>
      </w:r>
      <w:r>
        <w:rPr>
          <w:rFonts w:hint="default" w:ascii="Times New Roman" w:hAnsi="Times New Roman" w:eastAsia="黑体" w:cs="Times New Roman"/>
          <w:sz w:val="32"/>
          <w:szCs w:val="32"/>
          <w:lang w:val="en-US" w:eastAsia="zh-CN"/>
        </w:rPr>
        <w:t>4</w:t>
      </w:r>
    </w:p>
    <w:p>
      <w:pPr>
        <w:widowControl/>
        <w:spacing w:line="520" w:lineRule="exact"/>
        <w:jc w:val="center"/>
        <w:rPr>
          <w:rFonts w:ascii="黑体" w:hAnsi="黑体" w:eastAsia="黑体" w:cs="黑体"/>
          <w:bCs/>
          <w:color w:val="000000"/>
          <w:kern w:val="0"/>
          <w:sz w:val="44"/>
          <w:szCs w:val="44"/>
        </w:rPr>
      </w:pPr>
      <w:r>
        <w:rPr>
          <w:rFonts w:hint="eastAsia" w:ascii="黑体" w:hAnsi="黑体" w:eastAsia="黑体" w:cs="黑体"/>
          <w:sz w:val="44"/>
          <w:szCs w:val="44"/>
          <w:u w:val="single"/>
        </w:rPr>
        <w:t xml:space="preserve">      </w:t>
      </w:r>
      <w:r>
        <w:rPr>
          <w:rFonts w:hint="eastAsia" w:ascii="黑体" w:hAnsi="黑体" w:eastAsia="黑体" w:cs="黑体"/>
          <w:sz w:val="44"/>
          <w:szCs w:val="44"/>
        </w:rPr>
        <w:t>路</w:t>
      </w:r>
      <w:r>
        <w:rPr>
          <w:rFonts w:hint="eastAsia" w:ascii="黑体" w:hAnsi="黑体" w:eastAsia="黑体" w:cs="黑体"/>
          <w:sz w:val="44"/>
          <w:szCs w:val="44"/>
          <w:lang w:eastAsia="zh-CN"/>
        </w:rPr>
        <w:t>（</w:t>
      </w:r>
      <w:r>
        <w:rPr>
          <w:rFonts w:hint="eastAsia" w:ascii="黑体" w:hAnsi="黑体" w:eastAsia="黑体" w:cs="黑体"/>
          <w:sz w:val="44"/>
          <w:szCs w:val="44"/>
        </w:rPr>
        <w:t>起点—终点）</w:t>
      </w:r>
      <w:r>
        <w:rPr>
          <w:rFonts w:hint="eastAsia" w:ascii="黑体" w:hAnsi="黑体" w:eastAsia="黑体" w:cs="黑体"/>
          <w:bCs/>
          <w:color w:val="000000"/>
          <w:kern w:val="0"/>
          <w:sz w:val="44"/>
          <w:szCs w:val="44"/>
        </w:rPr>
        <w:t>窨井盖整治</w:t>
      </w:r>
    </w:p>
    <w:p>
      <w:pPr>
        <w:widowControl/>
        <w:spacing w:line="520" w:lineRule="exact"/>
        <w:jc w:val="center"/>
        <w:rPr>
          <w:rFonts w:ascii="方正小标宋简体" w:hAnsi="宋体" w:eastAsia="方正小标宋简体" w:cs="宋体"/>
          <w:bCs/>
          <w:color w:val="000000"/>
          <w:kern w:val="0"/>
          <w:sz w:val="44"/>
          <w:szCs w:val="44"/>
        </w:rPr>
      </w:pPr>
      <w:r>
        <w:rPr>
          <w:rFonts w:hint="eastAsia" w:ascii="黑体" w:hAnsi="黑体" w:eastAsia="黑体" w:cs="黑体"/>
          <w:bCs/>
          <w:color w:val="000000"/>
          <w:kern w:val="0"/>
          <w:sz w:val="44"/>
          <w:szCs w:val="44"/>
        </w:rPr>
        <w:t>工作台账</w:t>
      </w:r>
    </w:p>
    <w:p>
      <w:pPr>
        <w:spacing w:line="520" w:lineRule="exact"/>
        <w:jc w:val="left"/>
        <w:rPr>
          <w:rFonts w:ascii="方正小标宋简体" w:eastAsia="方正小标宋简体" w:cs="Times New Roman"/>
          <w:sz w:val="44"/>
          <w:szCs w:val="44"/>
        </w:rPr>
      </w:pPr>
      <w:r>
        <w:rPr>
          <w:rFonts w:eastAsia="仿宋" w:cs="Times New Roman"/>
          <w:sz w:val="28"/>
          <w:szCs w:val="24"/>
        </w:rPr>
        <w:t>填表单位：</w:t>
      </w:r>
      <w:r>
        <w:rPr>
          <w:rFonts w:hint="eastAsia" w:eastAsia="仿宋" w:cs="Times New Roman"/>
          <w:sz w:val="28"/>
          <w:szCs w:val="24"/>
          <w:lang w:eastAsia="zh-CN"/>
        </w:rPr>
        <w:t>（</w:t>
      </w:r>
      <w:r>
        <w:rPr>
          <w:rFonts w:hint="eastAsia" w:eastAsia="仿宋" w:cs="Times New Roman"/>
          <w:sz w:val="28"/>
          <w:szCs w:val="24"/>
        </w:rPr>
        <w:t>盖章）</w:t>
      </w:r>
      <w:r>
        <w:rPr>
          <w:rFonts w:eastAsia="仿宋" w:cs="Times New Roman"/>
          <w:sz w:val="28"/>
          <w:szCs w:val="24"/>
        </w:rPr>
        <w:t xml:space="preserve">                      日期：</w:t>
      </w:r>
      <w:r>
        <w:rPr>
          <w:rFonts w:hint="eastAsia" w:eastAsia="仿宋" w:cs="Times New Roman"/>
          <w:sz w:val="28"/>
          <w:szCs w:val="24"/>
        </w:rPr>
        <w:t xml:space="preserve"> </w:t>
      </w:r>
      <w:r>
        <w:rPr>
          <w:rFonts w:eastAsia="仿宋" w:cs="Times New Roman"/>
          <w:sz w:val="28"/>
          <w:szCs w:val="24"/>
        </w:rPr>
        <w:t xml:space="preserve">   </w:t>
      </w:r>
      <w:r>
        <w:rPr>
          <w:rFonts w:hint="eastAsia" w:eastAsia="仿宋" w:cs="Times New Roman"/>
          <w:sz w:val="28"/>
          <w:szCs w:val="24"/>
        </w:rPr>
        <w:t xml:space="preserve">年 </w:t>
      </w:r>
      <w:r>
        <w:rPr>
          <w:rFonts w:eastAsia="仿宋" w:cs="Times New Roman"/>
          <w:sz w:val="28"/>
          <w:szCs w:val="24"/>
        </w:rPr>
        <w:t xml:space="preserve">  </w:t>
      </w:r>
      <w:r>
        <w:rPr>
          <w:rFonts w:hint="eastAsia" w:eastAsia="仿宋" w:cs="Times New Roman"/>
          <w:sz w:val="28"/>
          <w:szCs w:val="24"/>
        </w:rPr>
        <w:t xml:space="preserve">月 </w:t>
      </w:r>
      <w:r>
        <w:rPr>
          <w:rFonts w:eastAsia="仿宋" w:cs="Times New Roman"/>
          <w:sz w:val="28"/>
          <w:szCs w:val="24"/>
        </w:rPr>
        <w:t xml:space="preserve">  </w:t>
      </w:r>
      <w:r>
        <w:rPr>
          <w:rFonts w:hint="eastAsia" w:eastAsia="仿宋" w:cs="Times New Roman"/>
          <w:sz w:val="28"/>
          <w:szCs w:val="24"/>
        </w:rPr>
        <w:t>日</w:t>
      </w:r>
    </w:p>
    <w:tbl>
      <w:tblPr>
        <w:tblStyle w:val="7"/>
        <w:tblW w:w="9356" w:type="dxa"/>
        <w:tblInd w:w="-5" w:type="dxa"/>
        <w:tblLayout w:type="autofit"/>
        <w:tblCellMar>
          <w:top w:w="0" w:type="dxa"/>
          <w:left w:w="108" w:type="dxa"/>
          <w:bottom w:w="0" w:type="dxa"/>
          <w:right w:w="108" w:type="dxa"/>
        </w:tblCellMar>
      </w:tblPr>
      <w:tblGrid>
        <w:gridCol w:w="567"/>
        <w:gridCol w:w="1134"/>
        <w:gridCol w:w="2835"/>
        <w:gridCol w:w="1134"/>
        <w:gridCol w:w="1134"/>
        <w:gridCol w:w="1560"/>
        <w:gridCol w:w="992"/>
      </w:tblGrid>
      <w:tr>
        <w:tblPrEx>
          <w:tblCellMar>
            <w:top w:w="0" w:type="dxa"/>
            <w:left w:w="108" w:type="dxa"/>
            <w:bottom w:w="0" w:type="dxa"/>
            <w:right w:w="108" w:type="dxa"/>
          </w:tblCellMar>
        </w:tblPrEx>
        <w:trPr>
          <w:trHeight w:val="600"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b/>
                <w:bCs/>
                <w:color w:val="000000"/>
                <w:kern w:val="0"/>
              </w:rPr>
            </w:pPr>
            <w:r>
              <w:rPr>
                <w:rFonts w:hint="eastAsia" w:ascii="宋体" w:hAnsi="宋体" w:eastAsia="宋体" w:cs="宋体"/>
                <w:b/>
                <w:bCs/>
                <w:color w:val="000000"/>
                <w:kern w:val="0"/>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b/>
                <w:bCs/>
                <w:color w:val="000000"/>
                <w:kern w:val="0"/>
              </w:rPr>
            </w:pPr>
            <w:r>
              <w:rPr>
                <w:rFonts w:hint="eastAsia" w:ascii="宋体" w:hAnsi="宋体" w:eastAsia="宋体" w:cs="宋体"/>
                <w:b/>
                <w:bCs/>
                <w:color w:val="000000"/>
                <w:kern w:val="0"/>
              </w:rPr>
              <w:t>窨井类别</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b/>
                <w:bCs/>
                <w:color w:val="000000"/>
                <w:kern w:val="0"/>
              </w:rPr>
            </w:pPr>
            <w:r>
              <w:rPr>
                <w:rFonts w:hint="eastAsia" w:ascii="宋体" w:hAnsi="宋体" w:eastAsia="宋体" w:cs="宋体"/>
                <w:b/>
                <w:bCs/>
                <w:color w:val="000000"/>
                <w:kern w:val="0"/>
              </w:rPr>
              <w:t>详细位置</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b/>
                <w:bCs/>
                <w:color w:val="000000"/>
                <w:kern w:val="0"/>
              </w:rPr>
            </w:pPr>
            <w:r>
              <w:rPr>
                <w:rFonts w:hint="eastAsia" w:ascii="宋体" w:hAnsi="宋体" w:eastAsia="宋体" w:cs="宋体"/>
                <w:b/>
                <w:bCs/>
                <w:color w:val="000000"/>
                <w:kern w:val="0"/>
              </w:rPr>
              <w:t>井盖材质</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b/>
                <w:bCs/>
                <w:color w:val="000000"/>
                <w:kern w:val="0"/>
              </w:rPr>
            </w:pPr>
            <w:r>
              <w:rPr>
                <w:rFonts w:hint="eastAsia" w:ascii="宋体" w:hAnsi="宋体" w:eastAsia="宋体" w:cs="宋体"/>
                <w:b/>
                <w:bCs/>
                <w:color w:val="000000"/>
                <w:kern w:val="0"/>
              </w:rPr>
              <w:t>形状规格</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b/>
                <w:bCs/>
                <w:color w:val="000000"/>
                <w:kern w:val="0"/>
              </w:rPr>
            </w:pPr>
            <w:r>
              <w:rPr>
                <w:rFonts w:hint="eastAsia" w:ascii="宋体" w:hAnsi="宋体" w:eastAsia="宋体" w:cs="宋体"/>
                <w:b/>
                <w:bCs/>
                <w:color w:val="000000"/>
                <w:kern w:val="0"/>
              </w:rPr>
              <w:t>病害描述</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b/>
                <w:bCs/>
                <w:color w:val="000000"/>
                <w:kern w:val="0"/>
              </w:rPr>
            </w:pPr>
            <w:r>
              <w:rPr>
                <w:rFonts w:hint="eastAsia" w:ascii="宋体" w:hAnsi="宋体" w:eastAsia="宋体" w:cs="宋体"/>
                <w:b/>
                <w:bCs/>
                <w:color w:val="000000"/>
                <w:kern w:val="0"/>
              </w:rPr>
              <w:t>备注</w:t>
            </w:r>
          </w:p>
        </w:tc>
      </w:tr>
      <w:tr>
        <w:tblPrEx>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r>
              <w:rPr>
                <w:rFonts w:hint="eastAsia" w:ascii="宋体" w:hAnsi="宋体" w:eastAsia="宋体" w:cs="宋体"/>
                <w:color w:val="000000"/>
                <w:kern w:val="0"/>
              </w:rPr>
              <w:t>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r>
              <w:rPr>
                <w:rFonts w:hint="eastAsia" w:ascii="宋体" w:hAnsi="宋体" w:eastAsia="宋体" w:cs="宋体"/>
                <w:color w:val="000000"/>
                <w:kern w:val="0"/>
              </w:rPr>
              <w:t>XX路与XX路交叉口向北XX米路北人行道上</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560"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992"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r>
              <w:rPr>
                <w:rFonts w:hint="eastAsia" w:ascii="宋体" w:hAnsi="宋体" w:eastAsia="宋体" w:cs="宋体"/>
                <w:color w:val="000000"/>
                <w:kern w:val="0"/>
              </w:rPr>
              <w:t>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560"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992"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r>
              <w:rPr>
                <w:rFonts w:hint="eastAsia" w:ascii="宋体" w:hAnsi="宋体" w:eastAsia="宋体" w:cs="宋体"/>
                <w:color w:val="000000"/>
                <w:kern w:val="0"/>
              </w:rPr>
              <w:t>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560"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992"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r>
              <w:rPr>
                <w:rFonts w:hint="eastAsia" w:ascii="宋体" w:hAnsi="宋体" w:eastAsia="宋体" w:cs="宋体"/>
                <w:color w:val="000000"/>
                <w:kern w:val="0"/>
              </w:rPr>
              <w:t>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560"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992"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r>
              <w:rPr>
                <w:rFonts w:hint="eastAsia" w:ascii="宋体" w:hAnsi="宋体" w:eastAsia="宋体" w:cs="宋体"/>
                <w:color w:val="000000"/>
                <w:kern w:val="0"/>
              </w:rPr>
              <w:t>5</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560"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992"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r>
              <w:rPr>
                <w:rFonts w:hint="eastAsia" w:ascii="宋体" w:hAnsi="宋体" w:eastAsia="宋体" w:cs="宋体"/>
                <w:color w:val="000000"/>
                <w:kern w:val="0"/>
              </w:rPr>
              <w:t>6</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560"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992"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r>
              <w:rPr>
                <w:rFonts w:hint="eastAsia" w:ascii="宋体" w:hAnsi="宋体" w:eastAsia="宋体" w:cs="宋体"/>
                <w:color w:val="000000"/>
                <w:kern w:val="0"/>
              </w:rPr>
              <w:t>7</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560"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992"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r>
              <w:rPr>
                <w:rFonts w:hint="eastAsia" w:ascii="宋体" w:hAnsi="宋体" w:eastAsia="宋体" w:cs="宋体"/>
                <w:color w:val="000000"/>
                <w:kern w:val="0"/>
              </w:rPr>
              <w:t>8</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560"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992"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r>
              <w:rPr>
                <w:rFonts w:hint="eastAsia" w:ascii="宋体" w:hAnsi="宋体" w:eastAsia="宋体" w:cs="宋体"/>
                <w:color w:val="000000"/>
                <w:kern w:val="0"/>
              </w:rPr>
              <w:t>9</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560"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992"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r>
              <w:rPr>
                <w:rFonts w:hint="eastAsia" w:ascii="宋体" w:hAnsi="宋体" w:eastAsia="宋体" w:cs="宋体"/>
                <w:color w:val="000000"/>
                <w:kern w:val="0"/>
              </w:rPr>
              <w:t>10</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560"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992"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r>
              <w:rPr>
                <w:rFonts w:hint="eastAsia" w:ascii="宋体" w:hAnsi="宋体" w:eastAsia="宋体" w:cs="宋体"/>
                <w:color w:val="000000"/>
                <w:kern w:val="0"/>
              </w:rPr>
              <w:t>11</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560"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992"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r>
              <w:rPr>
                <w:rFonts w:hint="eastAsia" w:ascii="宋体" w:hAnsi="宋体" w:eastAsia="宋体" w:cs="宋体"/>
                <w:color w:val="000000"/>
                <w:kern w:val="0"/>
              </w:rPr>
              <w:t>12</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560"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992"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r>
              <w:rPr>
                <w:rFonts w:hint="eastAsia" w:ascii="宋体" w:hAnsi="宋体" w:eastAsia="宋体" w:cs="宋体"/>
                <w:color w:val="000000"/>
                <w:kern w:val="0"/>
              </w:rPr>
              <w:t>13</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560"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992"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r>
              <w:rPr>
                <w:rFonts w:hint="eastAsia" w:ascii="宋体" w:hAnsi="宋体" w:eastAsia="宋体" w:cs="宋体"/>
                <w:color w:val="000000"/>
                <w:kern w:val="0"/>
              </w:rPr>
              <w:t>14</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560"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992"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r>
      <w:tr>
        <w:tblPrEx>
          <w:tblCellMar>
            <w:top w:w="0" w:type="dxa"/>
            <w:left w:w="108" w:type="dxa"/>
            <w:bottom w:w="0" w:type="dxa"/>
            <w:right w:w="108" w:type="dxa"/>
          </w:tblCellMar>
        </w:tblPrEx>
        <w:trPr>
          <w:trHeight w:val="60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r>
              <w:rPr>
                <w:rFonts w:ascii="宋体" w:hAnsi="宋体" w:eastAsia="宋体" w:cs="宋体"/>
                <w:color w:val="000000"/>
                <w:kern w:val="0"/>
              </w:rPr>
              <w:t>…</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2835"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134"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1560"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c>
          <w:tcPr>
            <w:tcW w:w="992" w:type="dxa"/>
            <w:tcBorders>
              <w:top w:val="nil"/>
              <w:left w:val="nil"/>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rPr>
            </w:pPr>
          </w:p>
        </w:tc>
      </w:tr>
    </w:tbl>
    <w:p>
      <w:pPr>
        <w:spacing w:line="400" w:lineRule="exact"/>
        <w:ind w:firstLine="480" w:firstLineChars="200"/>
        <w:rPr>
          <w:rFonts w:hint="eastAsia" w:ascii="Times New Roman" w:hAnsi="Times New Roman" w:eastAsia="仿宋" w:cs="Times New Roman"/>
          <w:b w:val="0"/>
          <w:bCs w:val="0"/>
          <w:sz w:val="32"/>
          <w:szCs w:val="32"/>
          <w:lang w:eastAsia="zh-CN"/>
        </w:rPr>
      </w:pPr>
      <w:r>
        <w:rPr>
          <w:rFonts w:eastAsia="仿宋" w:cs="Times New Roman"/>
          <w:sz w:val="24"/>
          <w:szCs w:val="28"/>
        </w:rPr>
        <w:t>说明：</w:t>
      </w:r>
      <w:r>
        <w:rPr>
          <w:rFonts w:hint="eastAsia" w:eastAsia="仿宋" w:cs="Times New Roman"/>
          <w:sz w:val="24"/>
          <w:szCs w:val="28"/>
        </w:rPr>
        <w:t>此表为普查的病害窨井盖统计用。</w:t>
      </w:r>
      <w:r>
        <w:rPr>
          <w:rFonts w:eastAsia="仿宋" w:cs="Times New Roman"/>
          <w:sz w:val="24"/>
          <w:szCs w:val="28"/>
        </w:rPr>
        <w:t>其他区域窨井盖信息采集参照此表格式进行统计汇总</w:t>
      </w:r>
      <w:bookmarkStart w:id="0" w:name="_GoBack"/>
      <w:bookmarkEnd w:id="0"/>
      <w:r>
        <w:rPr>
          <w:rFonts w:hint="eastAsia" w:eastAsia="仿宋" w:cs="Times New Roman"/>
          <w:sz w:val="24"/>
          <w:szCs w:val="28"/>
          <w:lang w:eastAsia="zh-CN"/>
        </w:rPr>
        <w:t>。</w:t>
      </w:r>
    </w:p>
    <w:sectPr>
      <w:footerReference r:id="rId3" w:type="default"/>
      <w:pgSz w:w="11906" w:h="16838"/>
      <w:pgMar w:top="2041" w:right="1531" w:bottom="1701" w:left="1531" w:header="851" w:footer="1361"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p>
                          <w:pPr>
                            <w:rPr>
                              <w:rFonts w:hint="default" w:ascii="Times New Roman" w:hAnsi="Times New Roman" w:cs="Times New Roman"/>
                              <w:sz w:val="28"/>
                              <w:szCs w:val="2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p>
                    <w:pPr>
                      <w:rPr>
                        <w:rFonts w:hint="default" w:ascii="Times New Roman" w:hAnsi="Times New Roman" w:cs="Times New Roman"/>
                        <w:sz w:val="28"/>
                        <w:szCs w:val="2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2304D"/>
    <w:rsid w:val="023250E8"/>
    <w:rsid w:val="030A4CFD"/>
    <w:rsid w:val="030C0614"/>
    <w:rsid w:val="034A3535"/>
    <w:rsid w:val="03990475"/>
    <w:rsid w:val="03EF52E8"/>
    <w:rsid w:val="043B105B"/>
    <w:rsid w:val="04865216"/>
    <w:rsid w:val="05493BDA"/>
    <w:rsid w:val="054D3650"/>
    <w:rsid w:val="0691090E"/>
    <w:rsid w:val="06EE715F"/>
    <w:rsid w:val="07643A30"/>
    <w:rsid w:val="078D262A"/>
    <w:rsid w:val="08530BE4"/>
    <w:rsid w:val="08947CAD"/>
    <w:rsid w:val="0AC172C6"/>
    <w:rsid w:val="0B7E754D"/>
    <w:rsid w:val="0BB3249C"/>
    <w:rsid w:val="0C9F19E4"/>
    <w:rsid w:val="0CE74670"/>
    <w:rsid w:val="0E720593"/>
    <w:rsid w:val="0FC72936"/>
    <w:rsid w:val="106B28A4"/>
    <w:rsid w:val="11AC2B89"/>
    <w:rsid w:val="11DA6F1F"/>
    <w:rsid w:val="12B15C51"/>
    <w:rsid w:val="140A17FA"/>
    <w:rsid w:val="1501095C"/>
    <w:rsid w:val="1BD576BB"/>
    <w:rsid w:val="1C65285F"/>
    <w:rsid w:val="1D4868F0"/>
    <w:rsid w:val="1D71030D"/>
    <w:rsid w:val="1D962380"/>
    <w:rsid w:val="1EDA748B"/>
    <w:rsid w:val="1EE37818"/>
    <w:rsid w:val="1F835F2E"/>
    <w:rsid w:val="1FAD2859"/>
    <w:rsid w:val="2219038C"/>
    <w:rsid w:val="230C784B"/>
    <w:rsid w:val="234F2558"/>
    <w:rsid w:val="23512847"/>
    <w:rsid w:val="23B823A3"/>
    <w:rsid w:val="240504C3"/>
    <w:rsid w:val="249D0B18"/>
    <w:rsid w:val="24B3623F"/>
    <w:rsid w:val="25792AD3"/>
    <w:rsid w:val="257F3826"/>
    <w:rsid w:val="261D206E"/>
    <w:rsid w:val="265A59F3"/>
    <w:rsid w:val="27147F3E"/>
    <w:rsid w:val="272A44ED"/>
    <w:rsid w:val="27B31947"/>
    <w:rsid w:val="282E12C9"/>
    <w:rsid w:val="2A1C23BC"/>
    <w:rsid w:val="2A3C5A30"/>
    <w:rsid w:val="2A461895"/>
    <w:rsid w:val="2ADE6C1E"/>
    <w:rsid w:val="2D926B20"/>
    <w:rsid w:val="2DB15741"/>
    <w:rsid w:val="2E0013C0"/>
    <w:rsid w:val="2F23449A"/>
    <w:rsid w:val="2F2D3023"/>
    <w:rsid w:val="30193F09"/>
    <w:rsid w:val="30645A09"/>
    <w:rsid w:val="30F051E3"/>
    <w:rsid w:val="30F10469"/>
    <w:rsid w:val="32CB7FEC"/>
    <w:rsid w:val="32FA7DDE"/>
    <w:rsid w:val="34321B6F"/>
    <w:rsid w:val="34934D39"/>
    <w:rsid w:val="363D12D5"/>
    <w:rsid w:val="36891EF9"/>
    <w:rsid w:val="36953E3A"/>
    <w:rsid w:val="3AD161BE"/>
    <w:rsid w:val="3B5679EA"/>
    <w:rsid w:val="3E2919ED"/>
    <w:rsid w:val="3E636ACF"/>
    <w:rsid w:val="3F154A09"/>
    <w:rsid w:val="3F86787E"/>
    <w:rsid w:val="3F9B6135"/>
    <w:rsid w:val="3FEA61A5"/>
    <w:rsid w:val="3FF36949"/>
    <w:rsid w:val="40110C70"/>
    <w:rsid w:val="40A158F5"/>
    <w:rsid w:val="43673CDB"/>
    <w:rsid w:val="43CA7BAE"/>
    <w:rsid w:val="44874CAE"/>
    <w:rsid w:val="48C65EE3"/>
    <w:rsid w:val="496334D1"/>
    <w:rsid w:val="49A91890"/>
    <w:rsid w:val="49F23BB1"/>
    <w:rsid w:val="4A965EC2"/>
    <w:rsid w:val="4A973459"/>
    <w:rsid w:val="4AD06AD3"/>
    <w:rsid w:val="4B1A04A8"/>
    <w:rsid w:val="4CD15780"/>
    <w:rsid w:val="4D9145CE"/>
    <w:rsid w:val="4EC023FA"/>
    <w:rsid w:val="4F11127C"/>
    <w:rsid w:val="4F1207E9"/>
    <w:rsid w:val="4FD02158"/>
    <w:rsid w:val="4FF77404"/>
    <w:rsid w:val="50CD4D64"/>
    <w:rsid w:val="50FC1764"/>
    <w:rsid w:val="51147F9D"/>
    <w:rsid w:val="51BC12C4"/>
    <w:rsid w:val="52674D38"/>
    <w:rsid w:val="52C75A84"/>
    <w:rsid w:val="53F524CC"/>
    <w:rsid w:val="553C76B8"/>
    <w:rsid w:val="555A2D4C"/>
    <w:rsid w:val="559E37F0"/>
    <w:rsid w:val="564F36B5"/>
    <w:rsid w:val="573F32B7"/>
    <w:rsid w:val="57744A82"/>
    <w:rsid w:val="592022C2"/>
    <w:rsid w:val="5A25197B"/>
    <w:rsid w:val="5A541762"/>
    <w:rsid w:val="5B221162"/>
    <w:rsid w:val="5C86110D"/>
    <w:rsid w:val="5CD97FF9"/>
    <w:rsid w:val="5CDF75D7"/>
    <w:rsid w:val="5D841574"/>
    <w:rsid w:val="62A45A37"/>
    <w:rsid w:val="632671A2"/>
    <w:rsid w:val="635F27DD"/>
    <w:rsid w:val="638D7D4E"/>
    <w:rsid w:val="63C240AE"/>
    <w:rsid w:val="64030F84"/>
    <w:rsid w:val="658D3683"/>
    <w:rsid w:val="661565C0"/>
    <w:rsid w:val="662F444D"/>
    <w:rsid w:val="66B1631A"/>
    <w:rsid w:val="6709326F"/>
    <w:rsid w:val="687F5B0C"/>
    <w:rsid w:val="688D1FF8"/>
    <w:rsid w:val="69BE717B"/>
    <w:rsid w:val="6BF0078E"/>
    <w:rsid w:val="6C042FAF"/>
    <w:rsid w:val="6D166051"/>
    <w:rsid w:val="6D6B360E"/>
    <w:rsid w:val="6EBF4D3F"/>
    <w:rsid w:val="6ED12EB8"/>
    <w:rsid w:val="6F4B414E"/>
    <w:rsid w:val="716A051D"/>
    <w:rsid w:val="73AF638F"/>
    <w:rsid w:val="73D24C8D"/>
    <w:rsid w:val="74D03E4E"/>
    <w:rsid w:val="75687553"/>
    <w:rsid w:val="758413D0"/>
    <w:rsid w:val="75E05EDD"/>
    <w:rsid w:val="76A33FF3"/>
    <w:rsid w:val="775917C7"/>
    <w:rsid w:val="77711FEC"/>
    <w:rsid w:val="77955E6C"/>
    <w:rsid w:val="783E4C45"/>
    <w:rsid w:val="787C3758"/>
    <w:rsid w:val="78A067C9"/>
    <w:rsid w:val="793B6531"/>
    <w:rsid w:val="7A32304D"/>
    <w:rsid w:val="7A647FF1"/>
    <w:rsid w:val="7BB05D3B"/>
    <w:rsid w:val="7D5755BB"/>
    <w:rsid w:val="7DCC2AAE"/>
    <w:rsid w:val="7DD547CA"/>
    <w:rsid w:val="7E6C32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 Text First Indent1"/>
    <w:basedOn w:val="3"/>
    <w:qFormat/>
    <w:uiPriority w:val="0"/>
    <w:pPr>
      <w:ind w:firstLine="420" w:firstLineChars="100"/>
    </w:p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3"/>
    <w:qFormat/>
    <w:uiPriority w:val="0"/>
    <w:pPr>
      <w:ind w:firstLine="420" w:firstLineChars="100"/>
    </w:p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2018-11-30T08:32:00Z</dcterms:created>
  <dc:creator>Administrator</dc:creator>
  <cp:lastModifiedBy>小雨滴之静赏花开</cp:lastModifiedBy>
  <cp:lastPrinted>2021-03-30T01:17:00Z</cp:lastPrinted>
  <dcterms:modified xsi:type="dcterms:W3CDTF">2022-02-23T00:16:07Z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KSOSaveFontToCloudKey">
    <vt:lpwstr>434887617_btnclosed</vt:lpwstr>
  </property>
  <property fmtid="{D5CDD505-2E9C-101B-9397-08002B2CF9AE}" pid="4" name="ICV">
    <vt:lpwstr>82D08FA6380546D1875915AA139EEA7A</vt:lpwstr>
  </property>
</Properties>
</file>